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F35" w:rsidRDefault="007321A2" w:rsidP="00086F35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2242820</wp:posOffset>
                </wp:positionV>
                <wp:extent cx="6010275" cy="639127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1A2" w:rsidRDefault="007321A2">
                            <w:r>
                              <w:t xml:space="preserve">Vous avez été nombreuses et nombreux à nous solliciter au sujet de la médaille. </w:t>
                            </w:r>
                          </w:p>
                          <w:p w:rsidR="007321A2" w:rsidRPr="00276FFD" w:rsidRDefault="007321A2">
                            <w:pPr>
                              <w:rPr>
                                <w:color w:val="FF0000"/>
                              </w:rPr>
                            </w:pPr>
                            <w:r w:rsidRPr="00276FFD">
                              <w:rPr>
                                <w:color w:val="FF0000"/>
                              </w:rPr>
                              <w:t xml:space="preserve">Voici quelques explications de la Direction : </w:t>
                            </w:r>
                          </w:p>
                          <w:p w:rsidR="007321A2" w:rsidRDefault="007321A2" w:rsidP="007321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La médaille comporte trois échelons</w:t>
                            </w:r>
                          </w:p>
                          <w:p w:rsidR="00B4650C" w:rsidRDefault="00B4650C" w:rsidP="00B4650C">
                            <w:pPr>
                              <w:pStyle w:val="Paragraphedeliste"/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33"/>
                              <w:gridCol w:w="4200"/>
                            </w:tblGrid>
                            <w:tr w:rsidR="007321A2" w:rsidTr="007321A2">
                              <w:tc>
                                <w:tcPr>
                                  <w:tcW w:w="4584" w:type="dxa"/>
                                </w:tcPr>
                                <w:p w:rsidR="007321A2" w:rsidRDefault="007321A2" w:rsidP="007321A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</w:pPr>
                                  <w:r>
                                    <w:t xml:space="preserve">Argent 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7321A2" w:rsidRDefault="007321A2" w:rsidP="007321A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</w:pPr>
                                  <w:r>
                                    <w:t xml:space="preserve">Pour 20 ans de service </w:t>
                                  </w:r>
                                </w:p>
                              </w:tc>
                            </w:tr>
                            <w:tr w:rsidR="007321A2" w:rsidTr="007321A2">
                              <w:tc>
                                <w:tcPr>
                                  <w:tcW w:w="4584" w:type="dxa"/>
                                </w:tcPr>
                                <w:p w:rsidR="007321A2" w:rsidRDefault="006F68DC" w:rsidP="007321A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</w:pPr>
                                  <w:r>
                                    <w:t xml:space="preserve">Vermeil 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7321A2" w:rsidRDefault="006F68DC" w:rsidP="007321A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</w:pPr>
                                  <w:r>
                                    <w:t xml:space="preserve">Pour 30 ans </w:t>
                                  </w:r>
                                </w:p>
                              </w:tc>
                            </w:tr>
                            <w:tr w:rsidR="007321A2" w:rsidTr="007321A2">
                              <w:tc>
                                <w:tcPr>
                                  <w:tcW w:w="4584" w:type="dxa"/>
                                </w:tcPr>
                                <w:p w:rsidR="007321A2" w:rsidRDefault="006F68DC" w:rsidP="007321A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</w:pPr>
                                  <w:r>
                                    <w:t xml:space="preserve">Or </w:t>
                                  </w:r>
                                </w:p>
                              </w:tc>
                              <w:tc>
                                <w:tcPr>
                                  <w:tcW w:w="4584" w:type="dxa"/>
                                </w:tcPr>
                                <w:p w:rsidR="007321A2" w:rsidRDefault="006F68DC" w:rsidP="007321A2">
                                  <w:pPr>
                                    <w:pStyle w:val="Paragraphedeliste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</w:pPr>
                                  <w:r>
                                    <w:t xml:space="preserve">Pour 35 ans </w:t>
                                  </w:r>
                                </w:p>
                              </w:tc>
                            </w:tr>
                          </w:tbl>
                          <w:p w:rsidR="00276FFD" w:rsidRDefault="00276FFD" w:rsidP="006F68DC"/>
                          <w:p w:rsidR="0003440A" w:rsidRDefault="0003440A" w:rsidP="006F68DC">
                            <w:r>
                              <w:t>Ces</w:t>
                            </w:r>
                            <w:r w:rsidR="00276FFD">
                              <w:t xml:space="preserve"> échelons sont attribués successivement. On ne peut pas demander un échelon sans avoir </w:t>
                            </w:r>
                            <w:r>
                              <w:t xml:space="preserve">eu l’échelon inférieur. Un délai d’un an doit être respecté avant l’attribution de l’échelon immédiatement supérieur. </w:t>
                            </w:r>
                          </w:p>
                          <w:p w:rsidR="00276FFD" w:rsidRDefault="0003440A" w:rsidP="006F68DC">
                            <w:r>
                              <w:t xml:space="preserve">Les périodes de temps partiel ne comptent pas comme des périodes de travail à temps plein. Elles sont prises en compte proportionnellement au temps de travail.  </w:t>
                            </w:r>
                          </w:p>
                          <w:p w:rsidR="006F68DC" w:rsidRDefault="00B4650C" w:rsidP="006F68DC">
                            <w:r>
                              <w:t>Les</w:t>
                            </w:r>
                            <w:r w:rsidR="006F68DC">
                              <w:t xml:space="preserve"> périodes de congés maladie</w:t>
                            </w:r>
                            <w:r w:rsidR="0003440A">
                              <w:t xml:space="preserve"> et de disponibilité pour convenances personnellement ne sont pas prises en compte dans le calcul de la durée de service. Il en est</w:t>
                            </w:r>
                            <w:r>
                              <w:t xml:space="preserve"> de même pour la période de détachement dans le corps ou le cadre d’emplois d’origine. La médaille n’est pas facturée à l’agent.</w:t>
                            </w:r>
                          </w:p>
                          <w:p w:rsidR="0041275D" w:rsidRDefault="0041275D" w:rsidP="006F68DC">
                            <w:r>
                              <w:t xml:space="preserve">Il n’y a pas non plus de prime ni de rémunération liée à cette démarche. </w:t>
                            </w:r>
                          </w:p>
                          <w:p w:rsidR="0041275D" w:rsidRDefault="0041275D" w:rsidP="0041275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</w:p>
                          <w:p w:rsidR="0041275D" w:rsidRDefault="0041275D" w:rsidP="0041275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</w:p>
                          <w:p w:rsidR="0041275D" w:rsidRDefault="0041275D" w:rsidP="0041275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  <w:r w:rsidRPr="0041275D"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  <w:t xml:space="preserve">CGT Lyon Sud </w:t>
                            </w:r>
                          </w:p>
                          <w:p w:rsidR="0041275D" w:rsidRPr="00F5225A" w:rsidRDefault="0041275D" w:rsidP="0041275D">
                            <w:pPr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</w:pPr>
                            <w:r w:rsidRPr="00F5225A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>Pour la CGT, c’est bien plus qu’une médaille que mérite</w:t>
                            </w:r>
                            <w:r w:rsidR="00276FFD" w:rsidRPr="00F5225A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>nt</w:t>
                            </w:r>
                            <w:r w:rsidRPr="00F5225A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 xml:space="preserve"> les agents.</w:t>
                            </w:r>
                            <w:r w:rsidR="00276FFD" w:rsidRPr="00F5225A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 xml:space="preserve"> Ce petit présent ne nous fera pas avaler les jours de carence pour maladie, </w:t>
                            </w:r>
                            <w:r w:rsidR="00B4650C" w:rsidRPr="00F5225A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 xml:space="preserve">l’allongement de carrière, le manque de personnel et de moyen, le stress, les </w:t>
                            </w:r>
                            <w:proofErr w:type="spellStart"/>
                            <w:r w:rsidR="00F5225A" w:rsidRPr="00F5225A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>burn-out</w:t>
                            </w:r>
                            <w:proofErr w:type="spellEnd"/>
                            <w:r w:rsidR="00F5225A" w:rsidRPr="00F5225A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>, la fatigue</w:t>
                            </w:r>
                            <w:r w:rsidR="00B4650C" w:rsidRPr="00F5225A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 xml:space="preserve">, l’attaque de notre Sécurité sociale, le forfait hospitalier, la perte de </w:t>
                            </w:r>
                            <w:r w:rsidR="00F5225A" w:rsidRPr="00F5225A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>salaire</w:t>
                            </w:r>
                            <w:r w:rsidR="00F5225A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>, la</w:t>
                            </w:r>
                            <w:r w:rsidR="00FD5CE2">
                              <w:rPr>
                                <w:rFonts w:ascii="Microsoft Sans Serif" w:hAnsi="Microsoft Sans Serif" w:cs="Microsoft Sans Serif"/>
                                <w:i/>
                              </w:rPr>
                              <w:t xml:space="preserve"> décote, les fermetures de lit…</w:t>
                            </w:r>
                          </w:p>
                          <w:p w:rsidR="0041275D" w:rsidRDefault="0041275D" w:rsidP="0041275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0000"/>
                              </w:rPr>
                            </w:pPr>
                          </w:p>
                          <w:p w:rsidR="0041275D" w:rsidRPr="0041275D" w:rsidRDefault="0041275D" w:rsidP="0041275D">
                            <w:pPr>
                              <w:rPr>
                                <w:rFonts w:ascii="Arial Black" w:hAnsi="Arial Black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:rsidR="006F68DC" w:rsidRDefault="006F68DC" w:rsidP="006F68DC"/>
                          <w:p w:rsidR="006F68DC" w:rsidRPr="006F68DC" w:rsidRDefault="006F68DC" w:rsidP="006F68DC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.9pt;margin-top:176.6pt;width:473.25pt;height:50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">
                <v:textbox>
                  <w:txbxContent>
                    <w:p w:rsidR="007321A2" w:rsidRDefault="007321A2">
                      <w:r>
                        <w:t xml:space="preserve">Vous avez été nombreuses et nombreux à nous solliciter au sujet de la médaille. </w:t>
                      </w:r>
                    </w:p>
                    <w:p w:rsidR="007321A2" w:rsidRPr="00276FFD" w:rsidRDefault="007321A2">
                      <w:pPr>
                        <w:rPr>
                          <w:color w:val="FF0000"/>
                        </w:rPr>
                      </w:pPr>
                      <w:r w:rsidRPr="00276FFD">
                        <w:rPr>
                          <w:color w:val="FF0000"/>
                        </w:rPr>
                        <w:t xml:space="preserve">Voici quelques explications de la Direction : </w:t>
                      </w:r>
                    </w:p>
                    <w:p w:rsidR="007321A2" w:rsidRDefault="007321A2" w:rsidP="007321A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>
                        <w:t>La médaille comporte trois échelons</w:t>
                      </w:r>
                    </w:p>
                    <w:p w:rsidR="00B4650C" w:rsidRDefault="00B4650C" w:rsidP="00B4650C">
                      <w:pPr>
                        <w:pStyle w:val="Paragraphedeliste"/>
                      </w:pPr>
                    </w:p>
                    <w:tbl>
                      <w:tblPr>
                        <w:tblStyle w:val="Grilledutableau"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4233"/>
                        <w:gridCol w:w="4200"/>
                      </w:tblGrid>
                      <w:tr w:rsidR="007321A2" w:rsidTr="007321A2">
                        <w:tc>
                          <w:tcPr>
                            <w:tcW w:w="4584" w:type="dxa"/>
                          </w:tcPr>
                          <w:p w:rsidR="007321A2" w:rsidRDefault="007321A2" w:rsidP="007321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</w:pPr>
                            <w:r>
                              <w:t xml:space="preserve">Argent 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7321A2" w:rsidRDefault="007321A2" w:rsidP="007321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</w:pPr>
                            <w:r>
                              <w:t xml:space="preserve">Pour 20 ans de service </w:t>
                            </w:r>
                          </w:p>
                        </w:tc>
                      </w:tr>
                      <w:tr w:rsidR="007321A2" w:rsidTr="007321A2">
                        <w:tc>
                          <w:tcPr>
                            <w:tcW w:w="4584" w:type="dxa"/>
                          </w:tcPr>
                          <w:p w:rsidR="007321A2" w:rsidRDefault="006F68DC" w:rsidP="007321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</w:pPr>
                            <w:r>
                              <w:t xml:space="preserve">Vermeil 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7321A2" w:rsidRDefault="006F68DC" w:rsidP="007321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</w:pPr>
                            <w:r>
                              <w:t xml:space="preserve">Pour 30 ans </w:t>
                            </w:r>
                          </w:p>
                        </w:tc>
                      </w:tr>
                      <w:tr w:rsidR="007321A2" w:rsidTr="007321A2">
                        <w:tc>
                          <w:tcPr>
                            <w:tcW w:w="4584" w:type="dxa"/>
                          </w:tcPr>
                          <w:p w:rsidR="007321A2" w:rsidRDefault="006F68DC" w:rsidP="007321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</w:pPr>
                            <w:r>
                              <w:t xml:space="preserve">Or </w:t>
                            </w:r>
                          </w:p>
                        </w:tc>
                        <w:tc>
                          <w:tcPr>
                            <w:tcW w:w="4584" w:type="dxa"/>
                          </w:tcPr>
                          <w:p w:rsidR="007321A2" w:rsidRDefault="006F68DC" w:rsidP="007321A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</w:pPr>
                            <w:r>
                              <w:t xml:space="preserve">Pour 35 ans </w:t>
                            </w:r>
                          </w:p>
                        </w:tc>
                      </w:tr>
                    </w:tbl>
                    <w:p w:rsidR="00276FFD" w:rsidRDefault="00276FFD" w:rsidP="006F68DC"/>
                    <w:p w:rsidR="0003440A" w:rsidRDefault="0003440A" w:rsidP="006F68DC">
                      <w:r>
                        <w:t>Ces</w:t>
                      </w:r>
                      <w:r w:rsidR="00276FFD">
                        <w:t xml:space="preserve"> échelons sont attribués successivement. On ne peut pas demander un échelon sans avoir </w:t>
                      </w:r>
                      <w:r>
                        <w:t xml:space="preserve">eu l’échelon inférieur. Un délai d’un an doit être respecté avant l’attribution de l’échelon immédiatement supérieur. </w:t>
                      </w:r>
                    </w:p>
                    <w:p w:rsidR="00276FFD" w:rsidRDefault="0003440A" w:rsidP="006F68DC">
                      <w:r>
                        <w:t xml:space="preserve">Les périodes de temps partiel ne comptent pas comme des périodes de travail à temps plein. Elles sont prises en compte proportionnellement au temps de travail.  </w:t>
                      </w:r>
                    </w:p>
                    <w:p w:rsidR="006F68DC" w:rsidRDefault="00B4650C" w:rsidP="006F68DC">
                      <w:r>
                        <w:t>Les</w:t>
                      </w:r>
                      <w:r w:rsidR="006F68DC">
                        <w:t xml:space="preserve"> périodes de congés maladie</w:t>
                      </w:r>
                      <w:r w:rsidR="0003440A">
                        <w:t xml:space="preserve"> et de disponibilité pour convenances personnellement ne sont pas prises en compte dans le calcul de la durée de service. Il en est</w:t>
                      </w:r>
                      <w:r>
                        <w:t xml:space="preserve"> de même pour la période de détachement dans le corps ou le cadre d’emplois d’origine. La médaille n’est pas facturée à l’agent.</w:t>
                      </w:r>
                    </w:p>
                    <w:p w:rsidR="0041275D" w:rsidRDefault="0041275D" w:rsidP="006F68DC">
                      <w:r>
                        <w:t xml:space="preserve">Il n’y a pas non plus de prime ni de rémunération liée à cette démarche. </w:t>
                      </w:r>
                    </w:p>
                    <w:p w:rsidR="0041275D" w:rsidRDefault="0041275D" w:rsidP="0041275D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</w:p>
                    <w:p w:rsidR="0041275D" w:rsidRDefault="0041275D" w:rsidP="0041275D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</w:p>
                    <w:p w:rsidR="0041275D" w:rsidRDefault="0041275D" w:rsidP="0041275D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  <w:r w:rsidRPr="0041275D">
                        <w:rPr>
                          <w:rFonts w:ascii="Arial Black" w:hAnsi="Arial Black"/>
                          <w:b/>
                          <w:color w:val="FF0000"/>
                        </w:rPr>
                        <w:t xml:space="preserve">CGT Lyon Sud </w:t>
                      </w:r>
                    </w:p>
                    <w:p w:rsidR="0041275D" w:rsidRPr="00F5225A" w:rsidRDefault="0041275D" w:rsidP="0041275D">
                      <w:pPr>
                        <w:rPr>
                          <w:rFonts w:ascii="Microsoft Sans Serif" w:hAnsi="Microsoft Sans Serif" w:cs="Microsoft Sans Serif"/>
                          <w:i/>
                        </w:rPr>
                      </w:pPr>
                      <w:r w:rsidRPr="00F5225A">
                        <w:rPr>
                          <w:rFonts w:ascii="Microsoft Sans Serif" w:hAnsi="Microsoft Sans Serif" w:cs="Microsoft Sans Serif"/>
                          <w:i/>
                        </w:rPr>
                        <w:t>Pour la CGT, c’est bien plus qu’une médaille que mérite</w:t>
                      </w:r>
                      <w:r w:rsidR="00276FFD" w:rsidRPr="00F5225A">
                        <w:rPr>
                          <w:rFonts w:ascii="Microsoft Sans Serif" w:hAnsi="Microsoft Sans Serif" w:cs="Microsoft Sans Serif"/>
                          <w:i/>
                        </w:rPr>
                        <w:t>nt</w:t>
                      </w:r>
                      <w:r w:rsidRPr="00F5225A">
                        <w:rPr>
                          <w:rFonts w:ascii="Microsoft Sans Serif" w:hAnsi="Microsoft Sans Serif" w:cs="Microsoft Sans Serif"/>
                          <w:i/>
                        </w:rPr>
                        <w:t xml:space="preserve"> les agents.</w:t>
                      </w:r>
                      <w:r w:rsidR="00276FFD" w:rsidRPr="00F5225A">
                        <w:rPr>
                          <w:rFonts w:ascii="Microsoft Sans Serif" w:hAnsi="Microsoft Sans Serif" w:cs="Microsoft Sans Serif"/>
                          <w:i/>
                        </w:rPr>
                        <w:t xml:space="preserve"> Ce petit présent ne nous fera pas avaler les jours de carence pour maladie, </w:t>
                      </w:r>
                      <w:r w:rsidR="00B4650C" w:rsidRPr="00F5225A">
                        <w:rPr>
                          <w:rFonts w:ascii="Microsoft Sans Serif" w:hAnsi="Microsoft Sans Serif" w:cs="Microsoft Sans Serif"/>
                          <w:i/>
                        </w:rPr>
                        <w:t xml:space="preserve">l’allongement de carrière, le manque de personnel et de moyen, le stress, les </w:t>
                      </w:r>
                      <w:proofErr w:type="spellStart"/>
                      <w:r w:rsidR="00F5225A" w:rsidRPr="00F5225A">
                        <w:rPr>
                          <w:rFonts w:ascii="Microsoft Sans Serif" w:hAnsi="Microsoft Sans Serif" w:cs="Microsoft Sans Serif"/>
                          <w:i/>
                        </w:rPr>
                        <w:t>burn-out</w:t>
                      </w:r>
                      <w:proofErr w:type="spellEnd"/>
                      <w:r w:rsidR="00F5225A" w:rsidRPr="00F5225A">
                        <w:rPr>
                          <w:rFonts w:ascii="Microsoft Sans Serif" w:hAnsi="Microsoft Sans Serif" w:cs="Microsoft Sans Serif"/>
                          <w:i/>
                        </w:rPr>
                        <w:t>, la fatigue</w:t>
                      </w:r>
                      <w:r w:rsidR="00B4650C" w:rsidRPr="00F5225A">
                        <w:rPr>
                          <w:rFonts w:ascii="Microsoft Sans Serif" w:hAnsi="Microsoft Sans Serif" w:cs="Microsoft Sans Serif"/>
                          <w:i/>
                        </w:rPr>
                        <w:t xml:space="preserve">, l’attaque de notre Sécurité sociale, le forfait hospitalier, la perte de </w:t>
                      </w:r>
                      <w:r w:rsidR="00F5225A" w:rsidRPr="00F5225A">
                        <w:rPr>
                          <w:rFonts w:ascii="Microsoft Sans Serif" w:hAnsi="Microsoft Sans Serif" w:cs="Microsoft Sans Serif"/>
                          <w:i/>
                        </w:rPr>
                        <w:t>salaire</w:t>
                      </w:r>
                      <w:r w:rsidR="00F5225A">
                        <w:rPr>
                          <w:rFonts w:ascii="Microsoft Sans Serif" w:hAnsi="Microsoft Sans Serif" w:cs="Microsoft Sans Serif"/>
                          <w:i/>
                        </w:rPr>
                        <w:t>, la</w:t>
                      </w:r>
                      <w:r w:rsidR="00FD5CE2">
                        <w:rPr>
                          <w:rFonts w:ascii="Microsoft Sans Serif" w:hAnsi="Microsoft Sans Serif" w:cs="Microsoft Sans Serif"/>
                          <w:i/>
                        </w:rPr>
                        <w:t xml:space="preserve"> décote, les fermetures de lit…</w:t>
                      </w:r>
                    </w:p>
                    <w:p w:rsidR="0041275D" w:rsidRDefault="0041275D" w:rsidP="0041275D">
                      <w:pPr>
                        <w:jc w:val="center"/>
                        <w:rPr>
                          <w:rFonts w:ascii="Arial Black" w:hAnsi="Arial Black"/>
                          <w:b/>
                          <w:color w:val="FF0000"/>
                        </w:rPr>
                      </w:pPr>
                    </w:p>
                    <w:p w:rsidR="0041275D" w:rsidRPr="0041275D" w:rsidRDefault="0041275D" w:rsidP="0041275D">
                      <w:pPr>
                        <w:rPr>
                          <w:rFonts w:ascii="Arial Black" w:hAnsi="Arial Black"/>
                          <w:b/>
                          <w:i/>
                          <w:color w:val="FF0000"/>
                        </w:rPr>
                      </w:pPr>
                    </w:p>
                    <w:p w:rsidR="006F68DC" w:rsidRDefault="006F68DC" w:rsidP="006F68DC"/>
                    <w:p w:rsidR="006F68DC" w:rsidRPr="006F68DC" w:rsidRDefault="006F68DC" w:rsidP="006F68DC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6F3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2129155</wp:posOffset>
                </wp:positionH>
                <wp:positionV relativeFrom="paragraph">
                  <wp:posOffset>395605</wp:posOffset>
                </wp:positionV>
                <wp:extent cx="4029075" cy="11144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F35" w:rsidRPr="007321A2" w:rsidRDefault="007321A2">
                            <w:pPr>
                              <w:rPr>
                                <w:rFonts w:ascii="Microsoft Sans Serif" w:hAnsi="Microsoft Sans Serif" w:cs="Microsoft Sans Serif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7321A2">
                              <w:rPr>
                                <w:rFonts w:ascii="Microsoft Sans Serif" w:hAnsi="Microsoft Sans Serif" w:cs="Microsoft Sans Serif"/>
                                <w:color w:val="FF0000"/>
                                <w:sz w:val="56"/>
                                <w:szCs w:val="56"/>
                              </w:rPr>
                              <w:t>M</w:t>
                            </w:r>
                            <w:r w:rsidR="009F0785">
                              <w:rPr>
                                <w:rFonts w:ascii="Microsoft Sans Serif" w:hAnsi="Microsoft Sans Serif" w:cs="Microsoft Sans Serif"/>
                                <w:color w:val="FF0000"/>
                                <w:sz w:val="56"/>
                                <w:szCs w:val="56"/>
                              </w:rPr>
                              <w:t xml:space="preserve">édaille pour les forçats de </w:t>
                            </w:r>
                            <w:r w:rsidR="009F0785">
                              <w:rPr>
                                <w:rFonts w:ascii="Microsoft Sans Serif" w:hAnsi="Microsoft Sans Serif" w:cs="Microsoft Sans Serif"/>
                                <w:color w:val="FF0000"/>
                                <w:sz w:val="56"/>
                                <w:szCs w:val="56"/>
                              </w:rPr>
                              <w:t>l’Hôpital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7.65pt;margin-top:31.15pt;width:317.2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">
                <v:textbox>
                  <w:txbxContent>
                    <w:p w:rsidR="00086F35" w:rsidRPr="007321A2" w:rsidRDefault="007321A2">
                      <w:pPr>
                        <w:rPr>
                          <w:rFonts w:ascii="Microsoft Sans Serif" w:hAnsi="Microsoft Sans Serif" w:cs="Microsoft Sans Serif"/>
                          <w:color w:val="FF0000"/>
                          <w:sz w:val="56"/>
                          <w:szCs w:val="56"/>
                        </w:rPr>
                      </w:pPr>
                      <w:r w:rsidRPr="007321A2">
                        <w:rPr>
                          <w:rFonts w:ascii="Microsoft Sans Serif" w:hAnsi="Microsoft Sans Serif" w:cs="Microsoft Sans Serif"/>
                          <w:color w:val="FF0000"/>
                          <w:sz w:val="56"/>
                          <w:szCs w:val="56"/>
                        </w:rPr>
                        <w:t>M</w:t>
                      </w:r>
                      <w:r w:rsidR="009F0785">
                        <w:rPr>
                          <w:rFonts w:ascii="Microsoft Sans Serif" w:hAnsi="Microsoft Sans Serif" w:cs="Microsoft Sans Serif"/>
                          <w:color w:val="FF0000"/>
                          <w:sz w:val="56"/>
                          <w:szCs w:val="56"/>
                        </w:rPr>
                        <w:t xml:space="preserve">édaille pour les forçats de </w:t>
                      </w:r>
                      <w:r w:rsidR="009F0785">
                        <w:rPr>
                          <w:rFonts w:ascii="Microsoft Sans Serif" w:hAnsi="Microsoft Sans Serif" w:cs="Microsoft Sans Serif"/>
                          <w:color w:val="FF0000"/>
                          <w:sz w:val="56"/>
                          <w:szCs w:val="56"/>
                        </w:rPr>
                        <w:t>l’Hôpital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6F35">
        <w:rPr>
          <w:noProof/>
        </w:rPr>
        <w:drawing>
          <wp:inline distT="0" distB="0" distL="0" distR="0" wp14:anchorId="23ABF4EB" wp14:editId="13AB216E">
            <wp:extent cx="1876425" cy="1876425"/>
            <wp:effectExtent l="0" t="0" r="9525" b="9525"/>
            <wp:docPr id="5" name="Image 5" descr="C:\Users\Public\buriannemi.CHU-LYON\Mes documents\Logo CGT\badges-toujours-professionnel4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ublic\buriannemi.CHU-LYON\Mes documents\Logo CGT\badges-toujours-professionnel4-3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0C7" w:rsidRDefault="009F0785"/>
    <w:sectPr w:rsidR="007A3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86B2E"/>
    <w:multiLevelType w:val="hybridMultilevel"/>
    <w:tmpl w:val="BADE849C"/>
    <w:lvl w:ilvl="0" w:tplc="10B40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35"/>
    <w:rsid w:val="0003440A"/>
    <w:rsid w:val="00086F35"/>
    <w:rsid w:val="00276FFD"/>
    <w:rsid w:val="0041275D"/>
    <w:rsid w:val="006F68DC"/>
    <w:rsid w:val="007321A2"/>
    <w:rsid w:val="0091527F"/>
    <w:rsid w:val="009F0785"/>
    <w:rsid w:val="00B4650C"/>
    <w:rsid w:val="00B6510E"/>
    <w:rsid w:val="00F5225A"/>
    <w:rsid w:val="00FD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807A"/>
  <w15:chartTrackingRefBased/>
  <w15:docId w15:val="{30299067-2EF6-4D0A-8E36-F86FFC91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321A2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2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AOUACHERIA, Ali</dc:creator>
  <cp:keywords/>
  <dc:description/>
  <cp:lastModifiedBy>AOUACHERIA, Ali</cp:lastModifiedBy>
  <cp:revision>2</cp:revision>
  <dcterms:created xsi:type="dcterms:W3CDTF">2024-11-05T09:00:00Z</dcterms:created>
  <dcterms:modified xsi:type="dcterms:W3CDTF">2024-11-06T15:17:00Z</dcterms:modified>
</cp:coreProperties>
</file>