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41" w:rsidRDefault="00F863DB" w:rsidP="00F863DB">
      <w:pPr>
        <w:shd w:val="clear" w:color="auto" w:fill="FFFFFF"/>
        <w:spacing w:before="150" w:after="150" w:line="240" w:lineRule="atLeast"/>
        <w:outlineLvl w:val="0"/>
        <w:rPr>
          <w:rFonts w:eastAsia="Times New Roman" w:cs="Times New Roman"/>
          <w:bCs/>
          <w:color w:val="000000"/>
          <w:spacing w:val="-15"/>
          <w:kern w:val="36"/>
          <w:sz w:val="32"/>
          <w:szCs w:val="32"/>
          <w:u w:val="single"/>
          <w:lang w:eastAsia="fr-FR"/>
        </w:rPr>
      </w:pPr>
      <w:r w:rsidRPr="00F863DB">
        <w:rPr>
          <w:rFonts w:eastAsia="Times New Roman" w:cs="Times New Roman"/>
          <w:b/>
          <w:bCs/>
          <w:noProof/>
          <w:color w:val="FF0000"/>
          <w:spacing w:val="-15"/>
          <w:kern w:val="36"/>
          <w:sz w:val="32"/>
          <w:szCs w:val="32"/>
          <w:lang w:eastAsia="fr-FR"/>
        </w:rPr>
        <mc:AlternateContent>
          <mc:Choice Requires="wps">
            <w:drawing>
              <wp:anchor distT="0" distB="0" distL="114300" distR="114300" simplePos="0" relativeHeight="251659264" behindDoc="0" locked="0" layoutInCell="1" allowOverlap="1" wp14:anchorId="03BDABE6" wp14:editId="1E784DB4">
                <wp:simplePos x="0" y="0"/>
                <wp:positionH relativeFrom="column">
                  <wp:posOffset>4033712</wp:posOffset>
                </wp:positionH>
                <wp:positionV relativeFrom="paragraph">
                  <wp:posOffset>-538288</wp:posOffset>
                </wp:positionV>
                <wp:extent cx="2211572" cy="1616149"/>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1616149"/>
                        </a:xfrm>
                        <a:prstGeom prst="rect">
                          <a:avLst/>
                        </a:prstGeom>
                        <a:solidFill>
                          <a:srgbClr val="FFFFFF"/>
                        </a:solidFill>
                        <a:ln w="9525">
                          <a:noFill/>
                          <a:miter lim="800000"/>
                          <a:headEnd/>
                          <a:tailEnd/>
                        </a:ln>
                      </wps:spPr>
                      <wps:txbx>
                        <w:txbxContent>
                          <w:p w:rsidR="00F863DB" w:rsidRDefault="00F863DB" w:rsidP="00096841">
                            <w:r>
                              <w:rPr>
                                <w:noProof/>
                                <w:lang w:eastAsia="fr-FR"/>
                              </w:rPr>
                              <w:drawing>
                                <wp:inline distT="0" distB="0" distL="0" distR="0" wp14:anchorId="70355506" wp14:editId="691C4E5D">
                                  <wp:extent cx="2006288" cy="1894269"/>
                                  <wp:effectExtent l="0" t="0" r="0" b="0"/>
                                  <wp:docPr id="1" name="Image 1" descr="https://www.salarysolution.be/wp-content/uploads/2018/09/congepar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larysolution.be/wp-content/uploads/2018/09/congepare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288" cy="1894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7.6pt;margin-top:-42.4pt;width:174.15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" stroked="f">
                <v:textbox>
                  <w:txbxContent>
                    <w:p w:rsidR="00F863DB" w:rsidRDefault="00F863DB" w:rsidP="00096841">
                      <w:r>
                        <w:rPr>
                          <w:noProof/>
                          <w:lang w:eastAsia="fr-FR"/>
                        </w:rPr>
                        <w:drawing>
                          <wp:inline distT="0" distB="0" distL="0" distR="0" wp14:anchorId="70355506" wp14:editId="691C4E5D">
                            <wp:extent cx="2006288" cy="1894269"/>
                            <wp:effectExtent l="0" t="0" r="0" b="0"/>
                            <wp:docPr id="1" name="Image 1" descr="https://www.salarysolution.be/wp-content/uploads/2018/09/congepar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larysolution.be/wp-content/uploads/2018/09/congepare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288" cy="1894269"/>
                                    </a:xfrm>
                                    <a:prstGeom prst="rect">
                                      <a:avLst/>
                                    </a:prstGeom>
                                    <a:noFill/>
                                    <a:ln>
                                      <a:noFill/>
                                    </a:ln>
                                  </pic:spPr>
                                </pic:pic>
                              </a:graphicData>
                            </a:graphic>
                          </wp:inline>
                        </w:drawing>
                      </w:r>
                    </w:p>
                  </w:txbxContent>
                </v:textbox>
              </v:shape>
            </w:pict>
          </mc:Fallback>
        </mc:AlternateContent>
      </w:r>
      <w:r w:rsidRPr="00F863DB">
        <w:rPr>
          <w:rFonts w:eastAsia="Times New Roman" w:cs="Times New Roman"/>
          <w:bCs/>
          <w:color w:val="000000"/>
          <w:spacing w:val="-15"/>
          <w:kern w:val="36"/>
          <w:sz w:val="32"/>
          <w:szCs w:val="32"/>
          <w:u w:val="single"/>
          <w:lang w:eastAsia="fr-FR"/>
        </w:rPr>
        <w:t>Congé</w:t>
      </w:r>
      <w:r w:rsidRPr="00F863DB">
        <w:rPr>
          <w:rFonts w:eastAsia="Times New Roman" w:cs="Times New Roman"/>
          <w:bCs/>
          <w:color w:val="000000"/>
          <w:spacing w:val="-15"/>
          <w:kern w:val="36"/>
          <w:sz w:val="32"/>
          <w:szCs w:val="32"/>
          <w:u w:val="single"/>
          <w:lang w:eastAsia="fr-FR"/>
        </w:rPr>
        <w:t xml:space="preserve"> parental et disponibilité </w:t>
      </w:r>
    </w:p>
    <w:p w:rsidR="00F863DB" w:rsidRDefault="00F863DB" w:rsidP="00F863DB">
      <w:pPr>
        <w:shd w:val="clear" w:color="auto" w:fill="FFFFFF"/>
        <w:spacing w:before="150" w:after="150" w:line="240" w:lineRule="atLeast"/>
        <w:outlineLvl w:val="0"/>
        <w:rPr>
          <w:rFonts w:eastAsia="Times New Roman" w:cs="Times New Roman"/>
          <w:bCs/>
          <w:color w:val="000000"/>
          <w:spacing w:val="-15"/>
          <w:kern w:val="36"/>
          <w:sz w:val="32"/>
          <w:szCs w:val="32"/>
          <w:lang w:eastAsia="fr-FR"/>
        </w:rPr>
      </w:pPr>
      <w:proofErr w:type="gramStart"/>
      <w:r w:rsidRPr="00F863DB">
        <w:rPr>
          <w:rFonts w:eastAsia="Times New Roman" w:cs="Times New Roman"/>
          <w:bCs/>
          <w:color w:val="000000"/>
          <w:spacing w:val="-15"/>
          <w:kern w:val="36"/>
          <w:sz w:val="32"/>
          <w:szCs w:val="32"/>
          <w:u w:val="single"/>
          <w:lang w:eastAsia="fr-FR"/>
        </w:rPr>
        <w:t>pour</w:t>
      </w:r>
      <w:proofErr w:type="gramEnd"/>
      <w:r w:rsidRPr="00F863DB">
        <w:rPr>
          <w:rFonts w:eastAsia="Times New Roman" w:cs="Times New Roman"/>
          <w:bCs/>
          <w:color w:val="000000"/>
          <w:spacing w:val="-15"/>
          <w:kern w:val="36"/>
          <w:sz w:val="32"/>
          <w:szCs w:val="32"/>
          <w:u w:val="single"/>
          <w:lang w:eastAsia="fr-FR"/>
        </w:rPr>
        <w:t xml:space="preserve"> élever un enfant</w:t>
      </w:r>
      <w:r w:rsidRPr="00F863DB">
        <w:rPr>
          <w:rFonts w:eastAsia="Times New Roman" w:cs="Times New Roman"/>
          <w:bCs/>
          <w:color w:val="000000"/>
          <w:spacing w:val="-15"/>
          <w:kern w:val="36"/>
          <w:sz w:val="32"/>
          <w:szCs w:val="32"/>
          <w:lang w:eastAsia="fr-FR"/>
        </w:rPr>
        <w:t xml:space="preserve"> : </w:t>
      </w:r>
    </w:p>
    <w:p w:rsidR="00096841" w:rsidRDefault="00F863DB" w:rsidP="00096841">
      <w:pPr>
        <w:shd w:val="clear" w:color="auto" w:fill="FFFFFF"/>
        <w:spacing w:before="150" w:after="150" w:line="240" w:lineRule="atLeast"/>
        <w:outlineLvl w:val="0"/>
        <w:rPr>
          <w:rFonts w:ascii="Arial" w:eastAsia="Times New Roman" w:hAnsi="Arial" w:cs="Arial"/>
          <w:color w:val="272727"/>
          <w:sz w:val="21"/>
          <w:szCs w:val="21"/>
          <w:lang w:eastAsia="fr-FR"/>
        </w:rPr>
      </w:pPr>
      <w:r w:rsidRPr="00F863DB">
        <w:rPr>
          <w:rFonts w:eastAsia="Times New Roman" w:cs="Times New Roman"/>
          <w:b/>
          <w:bCs/>
          <w:color w:val="FF0000"/>
          <w:spacing w:val="-15"/>
          <w:kern w:val="36"/>
          <w:sz w:val="32"/>
          <w:szCs w:val="32"/>
          <w:lang w:eastAsia="fr-FR"/>
        </w:rPr>
        <w:t xml:space="preserve">Modification des règles </w:t>
      </w:r>
      <w:r w:rsidR="00096841">
        <w:rPr>
          <w:rFonts w:ascii="Arial" w:eastAsia="Times New Roman" w:hAnsi="Arial" w:cs="Arial"/>
          <w:color w:val="272727"/>
          <w:sz w:val="21"/>
          <w:szCs w:val="21"/>
          <w:lang w:eastAsia="fr-FR"/>
        </w:rPr>
        <w:t xml:space="preserve"> </w:t>
      </w:r>
    </w:p>
    <w:p w:rsidR="00F863DB" w:rsidRPr="00F863DB" w:rsidRDefault="00096841" w:rsidP="00096841">
      <w:pPr>
        <w:shd w:val="clear" w:color="auto" w:fill="FFFFFF"/>
        <w:spacing w:before="150" w:after="150" w:line="240" w:lineRule="atLeast"/>
        <w:outlineLvl w:val="0"/>
        <w:rPr>
          <w:rFonts w:eastAsia="Times New Roman" w:cs="Times New Roman"/>
          <w:b/>
          <w:bCs/>
          <w:color w:val="FF0000"/>
          <w:spacing w:val="-15"/>
          <w:kern w:val="36"/>
          <w:sz w:val="32"/>
          <w:szCs w:val="32"/>
          <w:lang w:eastAsia="fr-FR"/>
        </w:rPr>
      </w:pPr>
      <w:r>
        <w:rPr>
          <w:rFonts w:ascii="Arial" w:eastAsia="Times New Roman" w:hAnsi="Arial" w:cs="Arial"/>
          <w:color w:val="272727"/>
          <w:sz w:val="21"/>
          <w:szCs w:val="21"/>
          <w:lang w:eastAsia="fr-FR"/>
        </w:rPr>
        <w:t xml:space="preserve">En </w:t>
      </w:r>
      <w:r w:rsidR="00F863DB" w:rsidRPr="00F863DB">
        <w:rPr>
          <w:rFonts w:ascii="Arial" w:eastAsia="Times New Roman" w:hAnsi="Arial" w:cs="Arial"/>
          <w:color w:val="272727"/>
          <w:sz w:val="21"/>
          <w:szCs w:val="21"/>
          <w:lang w:eastAsia="fr-FR"/>
        </w:rPr>
        <w:t xml:space="preserve">application de l’article 85 de la loi de transformation de la fonction publique </w:t>
      </w:r>
      <w:r>
        <w:rPr>
          <w:rFonts w:ascii="Arial" w:eastAsia="Times New Roman" w:hAnsi="Arial" w:cs="Arial"/>
          <w:color w:val="272727"/>
          <w:sz w:val="21"/>
          <w:szCs w:val="21"/>
          <w:lang w:eastAsia="fr-FR"/>
        </w:rPr>
        <w:t>permettant</w:t>
      </w:r>
      <w:r w:rsidR="00F863DB" w:rsidRPr="00F863DB">
        <w:rPr>
          <w:rFonts w:ascii="Arial" w:eastAsia="Times New Roman" w:hAnsi="Arial" w:cs="Arial"/>
          <w:color w:val="272727"/>
          <w:sz w:val="21"/>
          <w:szCs w:val="21"/>
          <w:lang w:eastAsia="fr-FR"/>
        </w:rPr>
        <w:t xml:space="preserve"> le </w:t>
      </w:r>
      <w:r w:rsidR="00F863DB" w:rsidRPr="00F863DB">
        <w:rPr>
          <w:rFonts w:ascii="Arial" w:eastAsia="Times New Roman" w:hAnsi="Arial" w:cs="Arial"/>
          <w:b/>
          <w:bCs/>
          <w:color w:val="272727"/>
          <w:sz w:val="21"/>
          <w:szCs w:val="21"/>
          <w:lang w:eastAsia="fr-FR"/>
        </w:rPr>
        <w:t>maintien des droits à avancement pendant les périodes de congé parental ou de disponibilité pour élever un enfant, </w:t>
      </w:r>
      <w:r w:rsidR="00F863DB" w:rsidRPr="00F863DB">
        <w:rPr>
          <w:rFonts w:ascii="Arial" w:eastAsia="Times New Roman" w:hAnsi="Arial" w:cs="Arial"/>
          <w:color w:val="272727"/>
          <w:sz w:val="21"/>
          <w:szCs w:val="21"/>
          <w:lang w:eastAsia="fr-FR"/>
        </w:rPr>
        <w:t>dans la limite de 5 ans sur l’ensemble de la carrière, cette période étant assimilée à des services effectifs dans le corps.</w:t>
      </w:r>
    </w:p>
    <w:p w:rsidR="00F863DB" w:rsidRDefault="00F863DB" w:rsidP="002A0D76">
      <w:pPr>
        <w:pStyle w:val="Paragraphedeliste"/>
        <w:numPr>
          <w:ilvl w:val="0"/>
          <w:numId w:val="4"/>
        </w:numPr>
        <w:shd w:val="clear" w:color="auto" w:fill="FFFFFF"/>
        <w:spacing w:after="0" w:line="240" w:lineRule="auto"/>
        <w:rPr>
          <w:rFonts w:ascii="Arial" w:eastAsia="Times New Roman" w:hAnsi="Arial" w:cs="Arial"/>
          <w:color w:val="FF0000"/>
          <w:sz w:val="21"/>
          <w:szCs w:val="21"/>
          <w:lang w:eastAsia="fr-FR"/>
        </w:rPr>
      </w:pPr>
      <w:r w:rsidRPr="002A0D76">
        <w:rPr>
          <w:rFonts w:ascii="Arial" w:eastAsia="Times New Roman" w:hAnsi="Arial" w:cs="Arial"/>
          <w:color w:val="272727"/>
          <w:sz w:val="21"/>
          <w:szCs w:val="21"/>
          <w:lang w:eastAsia="fr-FR"/>
        </w:rPr>
        <w:t xml:space="preserve">Il modifie le décret n°88-976 et précise </w:t>
      </w:r>
      <w:r w:rsidRPr="002A0D76">
        <w:rPr>
          <w:rFonts w:ascii="Arial" w:eastAsia="Times New Roman" w:hAnsi="Arial" w:cs="Arial"/>
          <w:color w:val="FF0000"/>
          <w:sz w:val="21"/>
          <w:szCs w:val="21"/>
          <w:lang w:eastAsia="fr-FR"/>
        </w:rPr>
        <w:t>que les droits à avancement conservés durant ces périodes « </w:t>
      </w:r>
      <w:r w:rsidRPr="002A0D76">
        <w:rPr>
          <w:rFonts w:ascii="Arial" w:eastAsia="Times New Roman" w:hAnsi="Arial" w:cs="Arial"/>
          <w:color w:val="FF0000"/>
          <w:sz w:val="21"/>
          <w:szCs w:val="21"/>
          <w:u w:val="single"/>
          <w:lang w:eastAsia="fr-FR"/>
        </w:rPr>
        <w:t>s'entendent des droits à avancement d'échelon et de grade</w:t>
      </w:r>
      <w:r w:rsidRPr="002A0D76">
        <w:rPr>
          <w:rFonts w:ascii="Arial" w:eastAsia="Times New Roman" w:hAnsi="Arial" w:cs="Arial"/>
          <w:color w:val="FF0000"/>
          <w:sz w:val="21"/>
          <w:szCs w:val="21"/>
          <w:lang w:eastAsia="fr-FR"/>
        </w:rPr>
        <w:t>».</w:t>
      </w:r>
    </w:p>
    <w:p w:rsidR="00F85618" w:rsidRDefault="00F85618" w:rsidP="00F85618">
      <w:pPr>
        <w:pStyle w:val="Paragraphedeliste"/>
        <w:shd w:val="clear" w:color="auto" w:fill="FFFFFF"/>
        <w:spacing w:after="0" w:line="240" w:lineRule="auto"/>
        <w:rPr>
          <w:rFonts w:ascii="Arial" w:eastAsia="Times New Roman" w:hAnsi="Arial" w:cs="Arial"/>
          <w:color w:val="FF0000"/>
          <w:sz w:val="21"/>
          <w:szCs w:val="21"/>
          <w:lang w:eastAsia="fr-FR"/>
        </w:rPr>
      </w:pPr>
    </w:p>
    <w:p w:rsidR="002A0D76" w:rsidRPr="002A0D76" w:rsidRDefault="002A0D76" w:rsidP="00F863DB">
      <w:pPr>
        <w:pStyle w:val="Paragraphedeliste"/>
        <w:numPr>
          <w:ilvl w:val="0"/>
          <w:numId w:val="4"/>
        </w:numPr>
        <w:shd w:val="clear" w:color="auto" w:fill="FFFFFF"/>
        <w:spacing w:after="0" w:line="240" w:lineRule="auto"/>
        <w:rPr>
          <w:rFonts w:ascii="Arial" w:eastAsia="Times New Roman" w:hAnsi="Arial" w:cs="Arial"/>
          <w:color w:val="FF0000"/>
          <w:sz w:val="21"/>
          <w:szCs w:val="21"/>
          <w:lang w:eastAsia="fr-FR"/>
        </w:rPr>
      </w:pPr>
      <w:r w:rsidRPr="002A0D76">
        <w:rPr>
          <w:rFonts w:ascii="Arial" w:eastAsia="Times New Roman" w:hAnsi="Arial" w:cs="Arial"/>
          <w:b/>
          <w:bCs/>
          <w:color w:val="272727"/>
          <w:sz w:val="21"/>
          <w:szCs w:val="21"/>
          <w:lang w:eastAsia="fr-FR"/>
        </w:rPr>
        <w:t xml:space="preserve"> il assouplit les règles relatives à l’utilisation du congé parental :</w:t>
      </w: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r w:rsidRPr="00F85618">
        <w:rPr>
          <w:rFonts w:ascii="Arial" w:eastAsia="Times New Roman" w:hAnsi="Arial" w:cs="Arial"/>
          <w:b/>
          <w:bCs/>
          <w:noProof/>
          <w:color w:val="272727"/>
          <w:sz w:val="21"/>
          <w:szCs w:val="21"/>
          <w:lang w:eastAsia="fr-FR"/>
        </w:rPr>
        <mc:AlternateContent>
          <mc:Choice Requires="wps">
            <w:drawing>
              <wp:anchor distT="0" distB="0" distL="114300" distR="114300" simplePos="0" relativeHeight="251661312" behindDoc="0" locked="0" layoutInCell="1" allowOverlap="1" wp14:anchorId="2BE9D517" wp14:editId="44A09239">
                <wp:simplePos x="0" y="0"/>
                <wp:positionH relativeFrom="column">
                  <wp:posOffset>3972</wp:posOffset>
                </wp:positionH>
                <wp:positionV relativeFrom="paragraph">
                  <wp:posOffset>32384</wp:posOffset>
                </wp:positionV>
                <wp:extent cx="5762847" cy="5667153"/>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5667153"/>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4503"/>
                              <w:gridCol w:w="4285"/>
                            </w:tblGrid>
                            <w:tr w:rsidR="00F85618" w:rsidTr="008C05F5">
                              <w:tc>
                                <w:tcPr>
                                  <w:tcW w:w="4503" w:type="dxa"/>
                                </w:tcPr>
                                <w:p w:rsidR="00F85618" w:rsidRPr="005D437C" w:rsidRDefault="00F85618" w:rsidP="005D437C">
                                  <w:pPr>
                                    <w:jc w:val="center"/>
                                    <w:rPr>
                                      <w:b/>
                                    </w:rPr>
                                  </w:pPr>
                                  <w:r w:rsidRPr="005D437C">
                                    <w:rPr>
                                      <w:b/>
                                    </w:rPr>
                                    <w:t>Avant</w:t>
                                  </w:r>
                                </w:p>
                              </w:tc>
                              <w:tc>
                                <w:tcPr>
                                  <w:tcW w:w="4285" w:type="dxa"/>
                                </w:tcPr>
                                <w:p w:rsidR="00F85618" w:rsidRPr="005D437C" w:rsidRDefault="00F85618" w:rsidP="005D437C">
                                  <w:pPr>
                                    <w:jc w:val="center"/>
                                    <w:rPr>
                                      <w:b/>
                                    </w:rPr>
                                  </w:pPr>
                                  <w:r w:rsidRPr="005D437C">
                                    <w:rPr>
                                      <w:b/>
                                    </w:rPr>
                                    <w:t>Après</w:t>
                                  </w:r>
                                </w:p>
                              </w:tc>
                            </w:tr>
                            <w:tr w:rsidR="00F85618" w:rsidTr="008C05F5">
                              <w:trPr>
                                <w:trHeight w:val="434"/>
                              </w:trPr>
                              <w:tc>
                                <w:tcPr>
                                  <w:tcW w:w="4503" w:type="dxa"/>
                                </w:tcPr>
                                <w:p w:rsidR="00F85618" w:rsidRDefault="00F85618">
                                  <w:r w:rsidRPr="00F863DB">
                                    <w:rPr>
                                      <w:rFonts w:ascii="Arial" w:eastAsia="Times New Roman" w:hAnsi="Arial" w:cs="Arial"/>
                                      <w:color w:val="272727"/>
                                      <w:sz w:val="21"/>
                                      <w:szCs w:val="21"/>
                                      <w:lang w:eastAsia="fr-FR"/>
                                    </w:rPr>
                                    <w:t>accordé par</w:t>
                                  </w:r>
                                  <w:r>
                                    <w:rPr>
                                      <w:rFonts w:ascii="Arial" w:eastAsia="Times New Roman" w:hAnsi="Arial" w:cs="Arial"/>
                                      <w:color w:val="272727"/>
                                      <w:sz w:val="21"/>
                                      <w:szCs w:val="21"/>
                                      <w:lang w:eastAsia="fr-FR"/>
                                    </w:rPr>
                                    <w:t xml:space="preserve"> </w:t>
                                  </w:r>
                                  <w:r w:rsidR="005D437C">
                                    <w:rPr>
                                      <w:rFonts w:ascii="Arial" w:eastAsia="Times New Roman" w:hAnsi="Arial" w:cs="Arial"/>
                                      <w:color w:val="272727"/>
                                      <w:sz w:val="21"/>
                                      <w:szCs w:val="21"/>
                                      <w:lang w:eastAsia="fr-FR"/>
                                    </w:rPr>
                                    <w:t>périodes de 6 mois uniquement</w:t>
                                  </w:r>
                                  <w:r w:rsidRPr="00F863DB">
                                    <w:rPr>
                                      <w:rFonts w:ascii="Arial" w:eastAsia="Times New Roman" w:hAnsi="Arial" w:cs="Arial"/>
                                      <w:color w:val="272727"/>
                                      <w:sz w:val="21"/>
                                      <w:szCs w:val="21"/>
                                      <w:lang w:eastAsia="fr-FR"/>
                                    </w:rPr>
                                    <w:t>.</w:t>
                                  </w:r>
                                </w:p>
                              </w:tc>
                              <w:tc>
                                <w:tcPr>
                                  <w:tcW w:w="4285" w:type="dxa"/>
                                </w:tcPr>
                                <w:p w:rsidR="00F85618" w:rsidRDefault="00F85618">
                                  <w:r w:rsidRPr="00F863DB">
                                    <w:rPr>
                                      <w:rFonts w:ascii="Arial" w:eastAsia="Times New Roman" w:hAnsi="Arial" w:cs="Arial"/>
                                      <w:color w:val="272727"/>
                                      <w:sz w:val="21"/>
                                      <w:szCs w:val="21"/>
                                      <w:u w:val="single"/>
                                      <w:lang w:eastAsia="fr-FR"/>
                                    </w:rPr>
                                    <w:t>périodes de 2 à 6 mois renouvelables</w:t>
                                  </w:r>
                                </w:p>
                              </w:tc>
                            </w:tr>
                            <w:tr w:rsidR="00F85618" w:rsidTr="008C05F5">
                              <w:trPr>
                                <w:trHeight w:val="1107"/>
                              </w:trPr>
                              <w:tc>
                                <w:tcPr>
                                  <w:tcW w:w="4503" w:type="dxa"/>
                                </w:tcPr>
                                <w:p w:rsidR="00F85618" w:rsidRDefault="00F85618">
                                  <w:r w:rsidRPr="00F863DB">
                                    <w:rPr>
                                      <w:rFonts w:ascii="Arial" w:eastAsia="Times New Roman" w:hAnsi="Arial" w:cs="Arial"/>
                                      <w:color w:val="272727"/>
                                      <w:sz w:val="21"/>
                                      <w:szCs w:val="21"/>
                                      <w:lang w:eastAsia="fr-FR"/>
                                    </w:rPr>
                                    <w:t>demandes de renouvellement</w:t>
                                  </w:r>
                                  <w:r>
                                    <w:rPr>
                                      <w:rFonts w:ascii="Arial" w:eastAsia="Times New Roman" w:hAnsi="Arial" w:cs="Arial"/>
                                      <w:color w:val="272727"/>
                                      <w:sz w:val="21"/>
                                      <w:szCs w:val="21"/>
                                      <w:lang w:eastAsia="fr-FR"/>
                                    </w:rPr>
                                    <w:t xml:space="preserve"> 2 mois av</w:t>
                                  </w:r>
                                  <w:r w:rsidRPr="00F863DB">
                                    <w:rPr>
                                      <w:rFonts w:ascii="Arial" w:eastAsia="Times New Roman" w:hAnsi="Arial" w:cs="Arial"/>
                                      <w:color w:val="272727"/>
                                      <w:sz w:val="21"/>
                                      <w:szCs w:val="21"/>
                                      <w:lang w:eastAsia="fr-FR"/>
                                    </w:rPr>
                                    <w:t>ant</w:t>
                                  </w:r>
                                  <w:r>
                                    <w:rPr>
                                      <w:rFonts w:ascii="Arial" w:eastAsia="Times New Roman" w:hAnsi="Arial" w:cs="Arial"/>
                                      <w:color w:val="272727"/>
                                      <w:sz w:val="21"/>
                                      <w:szCs w:val="21"/>
                                      <w:lang w:eastAsia="fr-FR"/>
                                    </w:rPr>
                                    <w:t xml:space="preserve"> </w:t>
                                  </w:r>
                                </w:p>
                              </w:tc>
                              <w:tc>
                                <w:tcPr>
                                  <w:tcW w:w="4285" w:type="dxa"/>
                                </w:tcPr>
                                <w:p w:rsidR="00F85618" w:rsidRDefault="00F85618">
                                  <w:r>
                                    <w:t xml:space="preserve">Renouvellement </w:t>
                                  </w:r>
                                  <w:r w:rsidRPr="00F863DB">
                                    <w:rPr>
                                      <w:rFonts w:ascii="Arial" w:eastAsia="Times New Roman" w:hAnsi="Arial" w:cs="Arial"/>
                                      <w:color w:val="272727"/>
                                      <w:sz w:val="21"/>
                                      <w:szCs w:val="21"/>
                                      <w:u w:val="single"/>
                                      <w:lang w:eastAsia="fr-FR"/>
                                    </w:rPr>
                                    <w:t>au moins 1 mois</w:t>
                                  </w:r>
                                  <w:r w:rsidRPr="00F863DB">
                                    <w:rPr>
                                      <w:rFonts w:ascii="Arial" w:eastAsia="Times New Roman" w:hAnsi="Arial" w:cs="Arial"/>
                                      <w:color w:val="272727"/>
                                      <w:sz w:val="21"/>
                                      <w:szCs w:val="21"/>
                                      <w:lang w:eastAsia="fr-FR"/>
                                    </w:rPr>
                                    <w:t> avant l'expiration de la période de congé parental en cours</w:t>
                                  </w:r>
                                  <w:r w:rsidR="005D437C">
                                    <w:rPr>
                                      <w:rFonts w:ascii="Arial" w:eastAsia="Times New Roman" w:hAnsi="Arial" w:cs="Arial"/>
                                      <w:color w:val="272727"/>
                                      <w:sz w:val="21"/>
                                      <w:szCs w:val="21"/>
                                      <w:lang w:eastAsia="fr-FR"/>
                                    </w:rPr>
                                    <w:t xml:space="preserve">. </w:t>
                                  </w:r>
                                </w:p>
                              </w:tc>
                            </w:tr>
                            <w:tr w:rsidR="00F85618" w:rsidTr="008C05F5">
                              <w:trPr>
                                <w:trHeight w:val="2391"/>
                              </w:trPr>
                              <w:tc>
                                <w:tcPr>
                                  <w:tcW w:w="4503" w:type="dxa"/>
                                </w:tcPr>
                                <w:p w:rsidR="00F85618" w:rsidRDefault="005D437C">
                                  <w:r w:rsidRPr="00F863DB">
                                    <w:rPr>
                                      <w:rFonts w:ascii="Arial" w:eastAsia="Times New Roman" w:hAnsi="Arial" w:cs="Arial"/>
                                      <w:color w:val="272727"/>
                                      <w:sz w:val="21"/>
                                      <w:szCs w:val="21"/>
                                      <w:lang w:eastAsia="fr-FR"/>
                                    </w:rPr>
                                    <w:t>C</w:t>
                                  </w:r>
                                  <w:r w:rsidRPr="00F863DB">
                                    <w:rPr>
                                      <w:rFonts w:ascii="Arial" w:eastAsia="Times New Roman" w:hAnsi="Arial" w:cs="Arial"/>
                                      <w:color w:val="272727"/>
                                      <w:sz w:val="21"/>
                                      <w:szCs w:val="21"/>
                                      <w:lang w:eastAsia="fr-FR"/>
                                    </w:rPr>
                                    <w:t>ontre</w:t>
                                  </w:r>
                                  <w:r>
                                    <w:rPr>
                                      <w:rFonts w:ascii="Arial" w:eastAsia="Times New Roman" w:hAnsi="Arial" w:cs="Arial"/>
                                      <w:color w:val="272727"/>
                                      <w:sz w:val="21"/>
                                      <w:szCs w:val="21"/>
                                      <w:lang w:eastAsia="fr-FR"/>
                                    </w:rPr>
                                    <w:t xml:space="preserve"> </w:t>
                                  </w:r>
                                  <w:r w:rsidR="00F85618" w:rsidRPr="00F863DB">
                                    <w:rPr>
                                      <w:rFonts w:ascii="Arial" w:eastAsia="Times New Roman" w:hAnsi="Arial" w:cs="Arial"/>
                                      <w:color w:val="272727"/>
                                      <w:sz w:val="21"/>
                                      <w:szCs w:val="21"/>
                                      <w:lang w:eastAsia="fr-FR"/>
                                    </w:rPr>
                                    <w:t>six semaines</w:t>
                                  </w:r>
                                  <w:r>
                                    <w:rPr>
                                      <w:rFonts w:ascii="Arial" w:eastAsia="Times New Roman" w:hAnsi="Arial" w:cs="Arial"/>
                                      <w:color w:val="272727"/>
                                      <w:sz w:val="21"/>
                                      <w:szCs w:val="21"/>
                                      <w:lang w:eastAsia="fr-FR"/>
                                    </w:rPr>
                                    <w:t xml:space="preserve"> </w:t>
                                  </w:r>
                                  <w:r w:rsidRPr="00F863DB">
                                    <w:rPr>
                                      <w:rFonts w:ascii="Arial" w:eastAsia="Times New Roman" w:hAnsi="Arial" w:cs="Arial"/>
                                      <w:color w:val="272727"/>
                                      <w:sz w:val="21"/>
                                      <w:szCs w:val="21"/>
                                      <w:lang w:eastAsia="fr-FR"/>
                                    </w:rPr>
                                    <w:t>auparavant</w:t>
                                  </w:r>
                                </w:p>
                              </w:tc>
                              <w:tc>
                                <w:tcPr>
                                  <w:tcW w:w="4285" w:type="dxa"/>
                                </w:tcPr>
                                <w:p w:rsidR="00F85618" w:rsidRDefault="00F85618">
                                  <w:r w:rsidRPr="00F863DB">
                                    <w:rPr>
                                      <w:rFonts w:ascii="Arial" w:eastAsia="Times New Roman" w:hAnsi="Arial" w:cs="Arial"/>
                                      <w:color w:val="272727"/>
                                      <w:sz w:val="21"/>
                                      <w:szCs w:val="21"/>
                                      <w:u w:val="single"/>
                                      <w:lang w:eastAsia="fr-FR"/>
                                    </w:rPr>
                                    <w:t>Quatre semaines</w:t>
                                  </w:r>
                                  <w:r w:rsidRPr="00F863DB">
                                    <w:rPr>
                                      <w:rFonts w:ascii="Arial" w:eastAsia="Times New Roman" w:hAnsi="Arial" w:cs="Arial"/>
                                      <w:color w:val="272727"/>
                                      <w:sz w:val="21"/>
                                      <w:szCs w:val="21"/>
                                      <w:lang w:eastAsia="fr-FR"/>
                                    </w:rPr>
                                    <w:t> au moins avant sa réintégration, le fonctionnaire bénéficie d'un entretien avec, selon son souhait de réintégration, le responsable des ressources humaines de son administration d'origine ou de détachement pour en examiner les modalités.</w:t>
                                  </w:r>
                                </w:p>
                              </w:tc>
                            </w:tr>
                            <w:tr w:rsidR="00F85618" w:rsidTr="008C05F5">
                              <w:trPr>
                                <w:trHeight w:val="986"/>
                              </w:trPr>
                              <w:tc>
                                <w:tcPr>
                                  <w:tcW w:w="4503" w:type="dxa"/>
                                </w:tcPr>
                                <w:p w:rsidR="00F85618" w:rsidRDefault="005D437C">
                                  <w:r w:rsidRPr="00F863DB">
                                    <w:rPr>
                                      <w:rFonts w:ascii="Arial" w:eastAsia="Times New Roman" w:hAnsi="Arial" w:cs="Arial"/>
                                      <w:color w:val="272727"/>
                                      <w:sz w:val="21"/>
                                      <w:szCs w:val="21"/>
                                      <w:lang w:eastAsia="fr-FR"/>
                                    </w:rPr>
                                    <w:t>8 ans auparavant</w:t>
                                  </w:r>
                                </w:p>
                              </w:tc>
                              <w:tc>
                                <w:tcPr>
                                  <w:tcW w:w="4285" w:type="dxa"/>
                                </w:tcPr>
                                <w:p w:rsidR="00F85618" w:rsidRDefault="005D437C">
                                  <w:r w:rsidRPr="00F863DB">
                                    <w:rPr>
                                      <w:rFonts w:ascii="Arial" w:eastAsia="Times New Roman" w:hAnsi="Arial" w:cs="Arial"/>
                                      <w:color w:val="272727"/>
                                      <w:sz w:val="21"/>
                                      <w:szCs w:val="21"/>
                                      <w:lang w:eastAsia="fr-FR"/>
                                    </w:rPr>
                                    <w:t>Concernant la disponibilité pour élever un enfant, l’âge maximal de l’enfant est porté à </w:t>
                                  </w:r>
                                  <w:r w:rsidRPr="00F863DB">
                                    <w:rPr>
                                      <w:rFonts w:ascii="Arial" w:eastAsia="Times New Roman" w:hAnsi="Arial" w:cs="Arial"/>
                                      <w:color w:val="272727"/>
                                      <w:sz w:val="21"/>
                                      <w:szCs w:val="21"/>
                                      <w:u w:val="single"/>
                                      <w:lang w:eastAsia="fr-FR"/>
                                    </w:rPr>
                                    <w:t>12 ans</w:t>
                                  </w:r>
                                  <w:r w:rsidRPr="00F863DB">
                                    <w:rPr>
                                      <w:rFonts w:ascii="Arial" w:eastAsia="Times New Roman" w:hAnsi="Arial" w:cs="Arial"/>
                                      <w:color w:val="272727"/>
                                      <w:sz w:val="21"/>
                                      <w:szCs w:val="21"/>
                                      <w:lang w:eastAsia="fr-FR"/>
                                    </w:rPr>
                                    <w:t> </w:t>
                                  </w:r>
                                </w:p>
                              </w:tc>
                            </w:tr>
                            <w:tr w:rsidR="00F85618" w:rsidTr="008C05F5">
                              <w:trPr>
                                <w:trHeight w:val="1569"/>
                              </w:trPr>
                              <w:tc>
                                <w:tcPr>
                                  <w:tcW w:w="4503" w:type="dxa"/>
                                </w:tcPr>
                                <w:p w:rsidR="00F85618" w:rsidRDefault="00F85618"/>
                              </w:tc>
                              <w:tc>
                                <w:tcPr>
                                  <w:tcW w:w="4285" w:type="dxa"/>
                                </w:tcPr>
                                <w:p w:rsidR="005D437C" w:rsidRPr="00F863DB" w:rsidRDefault="005D437C" w:rsidP="005D437C">
                                  <w:pPr>
                                    <w:shd w:val="clear" w:color="auto" w:fill="FFFFFF"/>
                                    <w:rPr>
                                      <w:rFonts w:ascii="Arial" w:eastAsia="Times New Roman" w:hAnsi="Arial" w:cs="Arial"/>
                                      <w:color w:val="272727"/>
                                      <w:sz w:val="21"/>
                                      <w:szCs w:val="21"/>
                                      <w:lang w:eastAsia="fr-FR"/>
                                    </w:rPr>
                                  </w:pPr>
                                  <w:r w:rsidRPr="00F863DB">
                                    <w:rPr>
                                      <w:rFonts w:ascii="Arial" w:eastAsia="Times New Roman" w:hAnsi="Arial" w:cs="Arial"/>
                                      <w:b/>
                                      <w:bCs/>
                                      <w:color w:val="272727"/>
                                      <w:sz w:val="21"/>
                                      <w:szCs w:val="21"/>
                                      <w:lang w:eastAsia="fr-FR"/>
                                    </w:rPr>
                                    <w:t>Enfin, il élargit les situations dans lesquelles la disponibilité est de droit :</w:t>
                                  </w:r>
                                </w:p>
                                <w:p w:rsidR="005D437C" w:rsidRPr="00F863DB" w:rsidRDefault="005D437C" w:rsidP="005D437C">
                                  <w:pPr>
                                    <w:shd w:val="clear" w:color="auto" w:fill="FFFFFF"/>
                                    <w:rPr>
                                      <w:rFonts w:ascii="Arial" w:eastAsia="Times New Roman" w:hAnsi="Arial" w:cs="Arial"/>
                                      <w:color w:val="272727"/>
                                      <w:sz w:val="21"/>
                                      <w:szCs w:val="21"/>
                                      <w:lang w:eastAsia="fr-FR"/>
                                    </w:rPr>
                                  </w:pPr>
                                </w:p>
                                <w:p w:rsidR="005D437C" w:rsidRPr="00F863DB" w:rsidRDefault="005D437C" w:rsidP="005D437C">
                                  <w:pPr>
                                    <w:numPr>
                                      <w:ilvl w:val="0"/>
                                      <w:numId w:val="2"/>
                                    </w:numPr>
                                    <w:shd w:val="clear" w:color="auto" w:fill="FFFFFF"/>
                                    <w:ind w:left="0"/>
                                    <w:rPr>
                                      <w:rFonts w:ascii="Arial" w:eastAsia="Times New Roman" w:hAnsi="Arial" w:cs="Arial"/>
                                      <w:color w:val="272727"/>
                                      <w:sz w:val="21"/>
                                      <w:szCs w:val="21"/>
                                      <w:lang w:eastAsia="fr-FR"/>
                                    </w:rPr>
                                  </w:pPr>
                                  <w:r w:rsidRPr="00F863DB">
                                    <w:rPr>
                                      <w:rFonts w:ascii="Arial" w:eastAsia="Times New Roman" w:hAnsi="Arial" w:cs="Arial"/>
                                      <w:color w:val="272727"/>
                                      <w:sz w:val="21"/>
                                      <w:szCs w:val="21"/>
                                      <w:lang w:eastAsia="fr-FR"/>
                                    </w:rPr>
                                    <w:t>Sur sa demande, le fonctionnaire peut désormais bénéficier d’une disponibilité « pour donner des soins à un enfant à charge, au conjoint, au partenaire avec lequel il est lié par un PACS, à un ascendant à la suite d'un accident ou d'une maladie grave ou atteint d'un handicap nécessitant la présence d'une tierce personne ».</w:t>
                                  </w:r>
                                </w:p>
                                <w:p w:rsidR="00F85618" w:rsidRDefault="00F85618"/>
                              </w:tc>
                            </w:tr>
                          </w:tbl>
                          <w:p w:rsidR="00F85618" w:rsidRDefault="00F85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2.55pt;width:453.75pt;height:4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" stroked="f">
                <v:textbox>
                  <w:txbxContent>
                    <w:tbl>
                      <w:tblPr>
                        <w:tblStyle w:val="Grilledutableau"/>
                        <w:tblW w:w="0" w:type="auto"/>
                        <w:tblLook w:val="04A0" w:firstRow="1" w:lastRow="0" w:firstColumn="1" w:lastColumn="0" w:noHBand="0" w:noVBand="1"/>
                      </w:tblPr>
                      <w:tblGrid>
                        <w:gridCol w:w="4503"/>
                        <w:gridCol w:w="4285"/>
                      </w:tblGrid>
                      <w:tr w:rsidR="00F85618" w:rsidTr="008C05F5">
                        <w:tc>
                          <w:tcPr>
                            <w:tcW w:w="4503" w:type="dxa"/>
                          </w:tcPr>
                          <w:p w:rsidR="00F85618" w:rsidRPr="005D437C" w:rsidRDefault="00F85618" w:rsidP="005D437C">
                            <w:pPr>
                              <w:jc w:val="center"/>
                              <w:rPr>
                                <w:b/>
                              </w:rPr>
                            </w:pPr>
                            <w:r w:rsidRPr="005D437C">
                              <w:rPr>
                                <w:b/>
                              </w:rPr>
                              <w:t>Avant</w:t>
                            </w:r>
                          </w:p>
                        </w:tc>
                        <w:tc>
                          <w:tcPr>
                            <w:tcW w:w="4285" w:type="dxa"/>
                          </w:tcPr>
                          <w:p w:rsidR="00F85618" w:rsidRPr="005D437C" w:rsidRDefault="00F85618" w:rsidP="005D437C">
                            <w:pPr>
                              <w:jc w:val="center"/>
                              <w:rPr>
                                <w:b/>
                              </w:rPr>
                            </w:pPr>
                            <w:r w:rsidRPr="005D437C">
                              <w:rPr>
                                <w:b/>
                              </w:rPr>
                              <w:t>Après</w:t>
                            </w:r>
                          </w:p>
                        </w:tc>
                      </w:tr>
                      <w:tr w:rsidR="00F85618" w:rsidTr="008C05F5">
                        <w:trPr>
                          <w:trHeight w:val="434"/>
                        </w:trPr>
                        <w:tc>
                          <w:tcPr>
                            <w:tcW w:w="4503" w:type="dxa"/>
                          </w:tcPr>
                          <w:p w:rsidR="00F85618" w:rsidRDefault="00F85618">
                            <w:r w:rsidRPr="00F863DB">
                              <w:rPr>
                                <w:rFonts w:ascii="Arial" w:eastAsia="Times New Roman" w:hAnsi="Arial" w:cs="Arial"/>
                                <w:color w:val="272727"/>
                                <w:sz w:val="21"/>
                                <w:szCs w:val="21"/>
                                <w:lang w:eastAsia="fr-FR"/>
                              </w:rPr>
                              <w:t>accordé par</w:t>
                            </w:r>
                            <w:r>
                              <w:rPr>
                                <w:rFonts w:ascii="Arial" w:eastAsia="Times New Roman" w:hAnsi="Arial" w:cs="Arial"/>
                                <w:color w:val="272727"/>
                                <w:sz w:val="21"/>
                                <w:szCs w:val="21"/>
                                <w:lang w:eastAsia="fr-FR"/>
                              </w:rPr>
                              <w:t xml:space="preserve"> </w:t>
                            </w:r>
                            <w:r w:rsidR="005D437C">
                              <w:rPr>
                                <w:rFonts w:ascii="Arial" w:eastAsia="Times New Roman" w:hAnsi="Arial" w:cs="Arial"/>
                                <w:color w:val="272727"/>
                                <w:sz w:val="21"/>
                                <w:szCs w:val="21"/>
                                <w:lang w:eastAsia="fr-FR"/>
                              </w:rPr>
                              <w:t>périodes de 6 mois uniquement</w:t>
                            </w:r>
                            <w:r w:rsidRPr="00F863DB">
                              <w:rPr>
                                <w:rFonts w:ascii="Arial" w:eastAsia="Times New Roman" w:hAnsi="Arial" w:cs="Arial"/>
                                <w:color w:val="272727"/>
                                <w:sz w:val="21"/>
                                <w:szCs w:val="21"/>
                                <w:lang w:eastAsia="fr-FR"/>
                              </w:rPr>
                              <w:t>.</w:t>
                            </w:r>
                          </w:p>
                        </w:tc>
                        <w:tc>
                          <w:tcPr>
                            <w:tcW w:w="4285" w:type="dxa"/>
                          </w:tcPr>
                          <w:p w:rsidR="00F85618" w:rsidRDefault="00F85618">
                            <w:r w:rsidRPr="00F863DB">
                              <w:rPr>
                                <w:rFonts w:ascii="Arial" w:eastAsia="Times New Roman" w:hAnsi="Arial" w:cs="Arial"/>
                                <w:color w:val="272727"/>
                                <w:sz w:val="21"/>
                                <w:szCs w:val="21"/>
                                <w:u w:val="single"/>
                                <w:lang w:eastAsia="fr-FR"/>
                              </w:rPr>
                              <w:t>périodes de 2 à 6 mois renouvelables</w:t>
                            </w:r>
                          </w:p>
                        </w:tc>
                      </w:tr>
                      <w:tr w:rsidR="00F85618" w:rsidTr="008C05F5">
                        <w:trPr>
                          <w:trHeight w:val="1107"/>
                        </w:trPr>
                        <w:tc>
                          <w:tcPr>
                            <w:tcW w:w="4503" w:type="dxa"/>
                          </w:tcPr>
                          <w:p w:rsidR="00F85618" w:rsidRDefault="00F85618">
                            <w:r w:rsidRPr="00F863DB">
                              <w:rPr>
                                <w:rFonts w:ascii="Arial" w:eastAsia="Times New Roman" w:hAnsi="Arial" w:cs="Arial"/>
                                <w:color w:val="272727"/>
                                <w:sz w:val="21"/>
                                <w:szCs w:val="21"/>
                                <w:lang w:eastAsia="fr-FR"/>
                              </w:rPr>
                              <w:t>demandes de renouvellement</w:t>
                            </w:r>
                            <w:r>
                              <w:rPr>
                                <w:rFonts w:ascii="Arial" w:eastAsia="Times New Roman" w:hAnsi="Arial" w:cs="Arial"/>
                                <w:color w:val="272727"/>
                                <w:sz w:val="21"/>
                                <w:szCs w:val="21"/>
                                <w:lang w:eastAsia="fr-FR"/>
                              </w:rPr>
                              <w:t xml:space="preserve"> 2 mois av</w:t>
                            </w:r>
                            <w:r w:rsidRPr="00F863DB">
                              <w:rPr>
                                <w:rFonts w:ascii="Arial" w:eastAsia="Times New Roman" w:hAnsi="Arial" w:cs="Arial"/>
                                <w:color w:val="272727"/>
                                <w:sz w:val="21"/>
                                <w:szCs w:val="21"/>
                                <w:lang w:eastAsia="fr-FR"/>
                              </w:rPr>
                              <w:t>ant</w:t>
                            </w:r>
                            <w:r>
                              <w:rPr>
                                <w:rFonts w:ascii="Arial" w:eastAsia="Times New Roman" w:hAnsi="Arial" w:cs="Arial"/>
                                <w:color w:val="272727"/>
                                <w:sz w:val="21"/>
                                <w:szCs w:val="21"/>
                                <w:lang w:eastAsia="fr-FR"/>
                              </w:rPr>
                              <w:t xml:space="preserve"> </w:t>
                            </w:r>
                          </w:p>
                        </w:tc>
                        <w:tc>
                          <w:tcPr>
                            <w:tcW w:w="4285" w:type="dxa"/>
                          </w:tcPr>
                          <w:p w:rsidR="00F85618" w:rsidRDefault="00F85618">
                            <w:r>
                              <w:t xml:space="preserve">Renouvellement </w:t>
                            </w:r>
                            <w:r w:rsidRPr="00F863DB">
                              <w:rPr>
                                <w:rFonts w:ascii="Arial" w:eastAsia="Times New Roman" w:hAnsi="Arial" w:cs="Arial"/>
                                <w:color w:val="272727"/>
                                <w:sz w:val="21"/>
                                <w:szCs w:val="21"/>
                                <w:u w:val="single"/>
                                <w:lang w:eastAsia="fr-FR"/>
                              </w:rPr>
                              <w:t>au moins 1 mois</w:t>
                            </w:r>
                            <w:r w:rsidRPr="00F863DB">
                              <w:rPr>
                                <w:rFonts w:ascii="Arial" w:eastAsia="Times New Roman" w:hAnsi="Arial" w:cs="Arial"/>
                                <w:color w:val="272727"/>
                                <w:sz w:val="21"/>
                                <w:szCs w:val="21"/>
                                <w:lang w:eastAsia="fr-FR"/>
                              </w:rPr>
                              <w:t> avant l'expiration de la période de congé parental en cours</w:t>
                            </w:r>
                            <w:r w:rsidR="005D437C">
                              <w:rPr>
                                <w:rFonts w:ascii="Arial" w:eastAsia="Times New Roman" w:hAnsi="Arial" w:cs="Arial"/>
                                <w:color w:val="272727"/>
                                <w:sz w:val="21"/>
                                <w:szCs w:val="21"/>
                                <w:lang w:eastAsia="fr-FR"/>
                              </w:rPr>
                              <w:t xml:space="preserve">. </w:t>
                            </w:r>
                          </w:p>
                        </w:tc>
                      </w:tr>
                      <w:tr w:rsidR="00F85618" w:rsidTr="008C05F5">
                        <w:trPr>
                          <w:trHeight w:val="2391"/>
                        </w:trPr>
                        <w:tc>
                          <w:tcPr>
                            <w:tcW w:w="4503" w:type="dxa"/>
                          </w:tcPr>
                          <w:p w:rsidR="00F85618" w:rsidRDefault="005D437C">
                            <w:r w:rsidRPr="00F863DB">
                              <w:rPr>
                                <w:rFonts w:ascii="Arial" w:eastAsia="Times New Roman" w:hAnsi="Arial" w:cs="Arial"/>
                                <w:color w:val="272727"/>
                                <w:sz w:val="21"/>
                                <w:szCs w:val="21"/>
                                <w:lang w:eastAsia="fr-FR"/>
                              </w:rPr>
                              <w:t>C</w:t>
                            </w:r>
                            <w:r w:rsidRPr="00F863DB">
                              <w:rPr>
                                <w:rFonts w:ascii="Arial" w:eastAsia="Times New Roman" w:hAnsi="Arial" w:cs="Arial"/>
                                <w:color w:val="272727"/>
                                <w:sz w:val="21"/>
                                <w:szCs w:val="21"/>
                                <w:lang w:eastAsia="fr-FR"/>
                              </w:rPr>
                              <w:t>ontre</w:t>
                            </w:r>
                            <w:r>
                              <w:rPr>
                                <w:rFonts w:ascii="Arial" w:eastAsia="Times New Roman" w:hAnsi="Arial" w:cs="Arial"/>
                                <w:color w:val="272727"/>
                                <w:sz w:val="21"/>
                                <w:szCs w:val="21"/>
                                <w:lang w:eastAsia="fr-FR"/>
                              </w:rPr>
                              <w:t xml:space="preserve"> </w:t>
                            </w:r>
                            <w:r w:rsidR="00F85618" w:rsidRPr="00F863DB">
                              <w:rPr>
                                <w:rFonts w:ascii="Arial" w:eastAsia="Times New Roman" w:hAnsi="Arial" w:cs="Arial"/>
                                <w:color w:val="272727"/>
                                <w:sz w:val="21"/>
                                <w:szCs w:val="21"/>
                                <w:lang w:eastAsia="fr-FR"/>
                              </w:rPr>
                              <w:t>six semaines</w:t>
                            </w:r>
                            <w:r>
                              <w:rPr>
                                <w:rFonts w:ascii="Arial" w:eastAsia="Times New Roman" w:hAnsi="Arial" w:cs="Arial"/>
                                <w:color w:val="272727"/>
                                <w:sz w:val="21"/>
                                <w:szCs w:val="21"/>
                                <w:lang w:eastAsia="fr-FR"/>
                              </w:rPr>
                              <w:t xml:space="preserve"> </w:t>
                            </w:r>
                            <w:r w:rsidRPr="00F863DB">
                              <w:rPr>
                                <w:rFonts w:ascii="Arial" w:eastAsia="Times New Roman" w:hAnsi="Arial" w:cs="Arial"/>
                                <w:color w:val="272727"/>
                                <w:sz w:val="21"/>
                                <w:szCs w:val="21"/>
                                <w:lang w:eastAsia="fr-FR"/>
                              </w:rPr>
                              <w:t>auparavant</w:t>
                            </w:r>
                          </w:p>
                        </w:tc>
                        <w:tc>
                          <w:tcPr>
                            <w:tcW w:w="4285" w:type="dxa"/>
                          </w:tcPr>
                          <w:p w:rsidR="00F85618" w:rsidRDefault="00F85618">
                            <w:r w:rsidRPr="00F863DB">
                              <w:rPr>
                                <w:rFonts w:ascii="Arial" w:eastAsia="Times New Roman" w:hAnsi="Arial" w:cs="Arial"/>
                                <w:color w:val="272727"/>
                                <w:sz w:val="21"/>
                                <w:szCs w:val="21"/>
                                <w:u w:val="single"/>
                                <w:lang w:eastAsia="fr-FR"/>
                              </w:rPr>
                              <w:t>Quatre semaines</w:t>
                            </w:r>
                            <w:r w:rsidRPr="00F863DB">
                              <w:rPr>
                                <w:rFonts w:ascii="Arial" w:eastAsia="Times New Roman" w:hAnsi="Arial" w:cs="Arial"/>
                                <w:color w:val="272727"/>
                                <w:sz w:val="21"/>
                                <w:szCs w:val="21"/>
                                <w:lang w:eastAsia="fr-FR"/>
                              </w:rPr>
                              <w:t> au moins avant sa réintégration, le fonctionnaire bénéficie d'un entretien avec, selon son souhait de réintégration, le responsable des ressources humaines de son administration d'origine ou de détachement pour en examiner les modalités.</w:t>
                            </w:r>
                          </w:p>
                        </w:tc>
                      </w:tr>
                      <w:tr w:rsidR="00F85618" w:rsidTr="008C05F5">
                        <w:trPr>
                          <w:trHeight w:val="986"/>
                        </w:trPr>
                        <w:tc>
                          <w:tcPr>
                            <w:tcW w:w="4503" w:type="dxa"/>
                          </w:tcPr>
                          <w:p w:rsidR="00F85618" w:rsidRDefault="005D437C">
                            <w:r w:rsidRPr="00F863DB">
                              <w:rPr>
                                <w:rFonts w:ascii="Arial" w:eastAsia="Times New Roman" w:hAnsi="Arial" w:cs="Arial"/>
                                <w:color w:val="272727"/>
                                <w:sz w:val="21"/>
                                <w:szCs w:val="21"/>
                                <w:lang w:eastAsia="fr-FR"/>
                              </w:rPr>
                              <w:t>8 ans auparavant</w:t>
                            </w:r>
                          </w:p>
                        </w:tc>
                        <w:tc>
                          <w:tcPr>
                            <w:tcW w:w="4285" w:type="dxa"/>
                          </w:tcPr>
                          <w:p w:rsidR="00F85618" w:rsidRDefault="005D437C">
                            <w:r w:rsidRPr="00F863DB">
                              <w:rPr>
                                <w:rFonts w:ascii="Arial" w:eastAsia="Times New Roman" w:hAnsi="Arial" w:cs="Arial"/>
                                <w:color w:val="272727"/>
                                <w:sz w:val="21"/>
                                <w:szCs w:val="21"/>
                                <w:lang w:eastAsia="fr-FR"/>
                              </w:rPr>
                              <w:t>Concernant la disponibilité pour élever un enfant, l’âge maximal de l’enfant est porté à </w:t>
                            </w:r>
                            <w:r w:rsidRPr="00F863DB">
                              <w:rPr>
                                <w:rFonts w:ascii="Arial" w:eastAsia="Times New Roman" w:hAnsi="Arial" w:cs="Arial"/>
                                <w:color w:val="272727"/>
                                <w:sz w:val="21"/>
                                <w:szCs w:val="21"/>
                                <w:u w:val="single"/>
                                <w:lang w:eastAsia="fr-FR"/>
                              </w:rPr>
                              <w:t>12 ans</w:t>
                            </w:r>
                            <w:r w:rsidRPr="00F863DB">
                              <w:rPr>
                                <w:rFonts w:ascii="Arial" w:eastAsia="Times New Roman" w:hAnsi="Arial" w:cs="Arial"/>
                                <w:color w:val="272727"/>
                                <w:sz w:val="21"/>
                                <w:szCs w:val="21"/>
                                <w:lang w:eastAsia="fr-FR"/>
                              </w:rPr>
                              <w:t> </w:t>
                            </w:r>
                          </w:p>
                        </w:tc>
                      </w:tr>
                      <w:tr w:rsidR="00F85618" w:rsidTr="008C05F5">
                        <w:trPr>
                          <w:trHeight w:val="1569"/>
                        </w:trPr>
                        <w:tc>
                          <w:tcPr>
                            <w:tcW w:w="4503" w:type="dxa"/>
                          </w:tcPr>
                          <w:p w:rsidR="00F85618" w:rsidRDefault="00F85618"/>
                        </w:tc>
                        <w:tc>
                          <w:tcPr>
                            <w:tcW w:w="4285" w:type="dxa"/>
                          </w:tcPr>
                          <w:p w:rsidR="005D437C" w:rsidRPr="00F863DB" w:rsidRDefault="005D437C" w:rsidP="005D437C">
                            <w:pPr>
                              <w:shd w:val="clear" w:color="auto" w:fill="FFFFFF"/>
                              <w:rPr>
                                <w:rFonts w:ascii="Arial" w:eastAsia="Times New Roman" w:hAnsi="Arial" w:cs="Arial"/>
                                <w:color w:val="272727"/>
                                <w:sz w:val="21"/>
                                <w:szCs w:val="21"/>
                                <w:lang w:eastAsia="fr-FR"/>
                              </w:rPr>
                            </w:pPr>
                            <w:r w:rsidRPr="00F863DB">
                              <w:rPr>
                                <w:rFonts w:ascii="Arial" w:eastAsia="Times New Roman" w:hAnsi="Arial" w:cs="Arial"/>
                                <w:b/>
                                <w:bCs/>
                                <w:color w:val="272727"/>
                                <w:sz w:val="21"/>
                                <w:szCs w:val="21"/>
                                <w:lang w:eastAsia="fr-FR"/>
                              </w:rPr>
                              <w:t>Enfin, il élargit les situations dans lesquelles la disponibilité est de droit :</w:t>
                            </w:r>
                          </w:p>
                          <w:p w:rsidR="005D437C" w:rsidRPr="00F863DB" w:rsidRDefault="005D437C" w:rsidP="005D437C">
                            <w:pPr>
                              <w:shd w:val="clear" w:color="auto" w:fill="FFFFFF"/>
                              <w:rPr>
                                <w:rFonts w:ascii="Arial" w:eastAsia="Times New Roman" w:hAnsi="Arial" w:cs="Arial"/>
                                <w:color w:val="272727"/>
                                <w:sz w:val="21"/>
                                <w:szCs w:val="21"/>
                                <w:lang w:eastAsia="fr-FR"/>
                              </w:rPr>
                            </w:pPr>
                          </w:p>
                          <w:p w:rsidR="005D437C" w:rsidRPr="00F863DB" w:rsidRDefault="005D437C" w:rsidP="005D437C">
                            <w:pPr>
                              <w:numPr>
                                <w:ilvl w:val="0"/>
                                <w:numId w:val="2"/>
                              </w:numPr>
                              <w:shd w:val="clear" w:color="auto" w:fill="FFFFFF"/>
                              <w:ind w:left="0"/>
                              <w:rPr>
                                <w:rFonts w:ascii="Arial" w:eastAsia="Times New Roman" w:hAnsi="Arial" w:cs="Arial"/>
                                <w:color w:val="272727"/>
                                <w:sz w:val="21"/>
                                <w:szCs w:val="21"/>
                                <w:lang w:eastAsia="fr-FR"/>
                              </w:rPr>
                            </w:pPr>
                            <w:r w:rsidRPr="00F863DB">
                              <w:rPr>
                                <w:rFonts w:ascii="Arial" w:eastAsia="Times New Roman" w:hAnsi="Arial" w:cs="Arial"/>
                                <w:color w:val="272727"/>
                                <w:sz w:val="21"/>
                                <w:szCs w:val="21"/>
                                <w:lang w:eastAsia="fr-FR"/>
                              </w:rPr>
                              <w:t>Sur sa demande, le fonctionnaire peut désormais bénéficier d’une disponibilité « pour donner des soins à un enfant à charge, au conjoint, au partenaire avec lequel il est lié par un PACS, à un ascendant à la suite d'un accident ou d'une maladie grave ou atteint d'un handicap nécessitant la présence d'une tierce personne ».</w:t>
                            </w:r>
                          </w:p>
                          <w:p w:rsidR="00F85618" w:rsidRDefault="00F85618"/>
                        </w:tc>
                      </w:tr>
                    </w:tbl>
                    <w:p w:rsidR="00F85618" w:rsidRDefault="00F85618"/>
                  </w:txbxContent>
                </v:textbox>
              </v:shape>
            </w:pict>
          </mc:Fallback>
        </mc:AlternateContent>
      </w: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63DB">
      <w:pPr>
        <w:shd w:val="clear" w:color="auto" w:fill="FFFFFF"/>
        <w:spacing w:after="0" w:line="240" w:lineRule="auto"/>
        <w:rPr>
          <w:rFonts w:ascii="Arial" w:eastAsia="Times New Roman" w:hAnsi="Arial" w:cs="Arial"/>
          <w:b/>
          <w:bCs/>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bookmarkStart w:id="0" w:name="_GoBack"/>
      <w:bookmarkEnd w:id="0"/>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5618" w:rsidRDefault="00F85618" w:rsidP="00F85618">
      <w:pPr>
        <w:shd w:val="clear" w:color="auto" w:fill="FFFFFF"/>
        <w:spacing w:after="0" w:line="240" w:lineRule="auto"/>
        <w:rPr>
          <w:rFonts w:ascii="Arial" w:eastAsia="Times New Roman" w:hAnsi="Arial" w:cs="Arial"/>
          <w:color w:val="272727"/>
          <w:sz w:val="21"/>
          <w:szCs w:val="21"/>
          <w:lang w:eastAsia="fr-FR"/>
        </w:rPr>
      </w:pPr>
    </w:p>
    <w:p w:rsidR="00F863DB" w:rsidRPr="00F863DB" w:rsidRDefault="00F863DB" w:rsidP="00F85618">
      <w:pPr>
        <w:shd w:val="clear" w:color="auto" w:fill="FFFFFF"/>
        <w:spacing w:after="0" w:line="240" w:lineRule="auto"/>
        <w:rPr>
          <w:rFonts w:ascii="Arial" w:eastAsia="Times New Roman" w:hAnsi="Arial" w:cs="Arial"/>
          <w:color w:val="272727"/>
          <w:sz w:val="21"/>
          <w:szCs w:val="21"/>
          <w:lang w:eastAsia="fr-FR"/>
        </w:rPr>
      </w:pPr>
      <w:r w:rsidRPr="00F863DB">
        <w:rPr>
          <w:rFonts w:ascii="Arial" w:eastAsia="Times New Roman" w:hAnsi="Arial" w:cs="Arial"/>
          <w:color w:val="272727"/>
          <w:sz w:val="21"/>
          <w:szCs w:val="21"/>
          <w:lang w:eastAsia="fr-FR"/>
        </w:rPr>
        <w:t xml:space="preserve"> </w:t>
      </w:r>
    </w:p>
    <w:p w:rsidR="00F863DB" w:rsidRPr="00F863DB" w:rsidRDefault="00F863DB" w:rsidP="005D437C">
      <w:pPr>
        <w:shd w:val="clear" w:color="auto" w:fill="FFFFFF"/>
        <w:spacing w:after="0" w:line="240" w:lineRule="auto"/>
        <w:rPr>
          <w:rFonts w:ascii="Arial" w:eastAsia="Times New Roman" w:hAnsi="Arial" w:cs="Arial"/>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F863DB">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5D437C">
      <w:pPr>
        <w:shd w:val="clear" w:color="auto" w:fill="FFFFFF"/>
        <w:spacing w:after="0" w:line="240" w:lineRule="auto"/>
        <w:rPr>
          <w:rFonts w:ascii="Arial" w:eastAsia="Times New Roman" w:hAnsi="Arial" w:cs="Arial"/>
          <w:b/>
          <w:bCs/>
          <w:color w:val="272727"/>
          <w:sz w:val="21"/>
          <w:szCs w:val="21"/>
          <w:lang w:eastAsia="fr-FR"/>
        </w:rPr>
      </w:pPr>
    </w:p>
    <w:p w:rsidR="005D437C" w:rsidRDefault="005D437C" w:rsidP="005D437C">
      <w:pPr>
        <w:shd w:val="clear" w:color="auto" w:fill="FFFFFF"/>
        <w:spacing w:after="0" w:line="240" w:lineRule="auto"/>
        <w:rPr>
          <w:rFonts w:ascii="Arial" w:eastAsia="Times New Roman" w:hAnsi="Arial" w:cs="Arial"/>
          <w:b/>
          <w:bCs/>
          <w:color w:val="272727"/>
          <w:sz w:val="21"/>
          <w:szCs w:val="21"/>
          <w:lang w:eastAsia="fr-FR"/>
        </w:rPr>
      </w:pPr>
    </w:p>
    <w:p w:rsidR="008C05F5" w:rsidRDefault="008C05F5" w:rsidP="005D437C">
      <w:pPr>
        <w:shd w:val="clear" w:color="auto" w:fill="FFFFFF"/>
        <w:spacing w:after="0" w:line="240" w:lineRule="auto"/>
        <w:rPr>
          <w:rFonts w:ascii="Arial" w:eastAsia="Times New Roman" w:hAnsi="Arial" w:cs="Arial"/>
          <w:b/>
          <w:bCs/>
          <w:color w:val="272727"/>
          <w:sz w:val="21"/>
          <w:szCs w:val="21"/>
          <w:lang w:eastAsia="fr-FR"/>
        </w:rPr>
      </w:pPr>
    </w:p>
    <w:p w:rsidR="008C05F5" w:rsidRDefault="008C05F5" w:rsidP="005D437C">
      <w:pPr>
        <w:shd w:val="clear" w:color="auto" w:fill="FFFFFF"/>
        <w:spacing w:after="0" w:line="240" w:lineRule="auto"/>
        <w:rPr>
          <w:rFonts w:ascii="Arial" w:eastAsia="Times New Roman" w:hAnsi="Arial" w:cs="Arial"/>
          <w:b/>
          <w:bCs/>
          <w:color w:val="272727"/>
          <w:sz w:val="21"/>
          <w:szCs w:val="21"/>
          <w:lang w:eastAsia="fr-FR"/>
        </w:rPr>
      </w:pPr>
    </w:p>
    <w:p w:rsidR="008C05F5" w:rsidRDefault="008C05F5" w:rsidP="005D437C">
      <w:pPr>
        <w:shd w:val="clear" w:color="auto" w:fill="FFFFFF"/>
        <w:spacing w:after="0" w:line="240" w:lineRule="auto"/>
        <w:rPr>
          <w:rFonts w:ascii="Arial" w:eastAsia="Times New Roman" w:hAnsi="Arial" w:cs="Arial"/>
          <w:b/>
          <w:bCs/>
          <w:color w:val="272727"/>
          <w:sz w:val="21"/>
          <w:szCs w:val="21"/>
          <w:lang w:eastAsia="fr-FR"/>
        </w:rPr>
      </w:pPr>
    </w:p>
    <w:p w:rsidR="008C05F5" w:rsidRDefault="008C05F5" w:rsidP="005D437C">
      <w:pPr>
        <w:shd w:val="clear" w:color="auto" w:fill="FFFFFF"/>
        <w:spacing w:after="0" w:line="240" w:lineRule="auto"/>
        <w:rPr>
          <w:rFonts w:ascii="Arial" w:eastAsia="Times New Roman" w:hAnsi="Arial" w:cs="Arial"/>
          <w:b/>
          <w:bCs/>
          <w:color w:val="272727"/>
          <w:sz w:val="21"/>
          <w:szCs w:val="21"/>
          <w:lang w:eastAsia="fr-FR"/>
        </w:rPr>
      </w:pPr>
    </w:p>
    <w:p w:rsidR="005D437C" w:rsidRDefault="00F863DB" w:rsidP="005D437C">
      <w:pPr>
        <w:shd w:val="clear" w:color="auto" w:fill="FFFFFF"/>
        <w:spacing w:after="0" w:line="240" w:lineRule="auto"/>
        <w:rPr>
          <w:rFonts w:ascii="Arial" w:eastAsia="Times New Roman" w:hAnsi="Arial" w:cs="Arial"/>
          <w:b/>
          <w:bCs/>
          <w:color w:val="272727"/>
          <w:sz w:val="21"/>
          <w:szCs w:val="21"/>
          <w:lang w:eastAsia="fr-FR"/>
        </w:rPr>
      </w:pPr>
      <w:r w:rsidRPr="00F863DB">
        <w:rPr>
          <w:rFonts w:ascii="Arial" w:eastAsia="Times New Roman" w:hAnsi="Arial" w:cs="Arial"/>
          <w:b/>
          <w:bCs/>
          <w:color w:val="272727"/>
          <w:sz w:val="21"/>
          <w:szCs w:val="21"/>
          <w:lang w:eastAsia="fr-FR"/>
        </w:rPr>
        <w:t>Entrée en vigueur</w:t>
      </w:r>
    </w:p>
    <w:p w:rsidR="005D437C" w:rsidRDefault="005D437C" w:rsidP="005D437C">
      <w:pPr>
        <w:shd w:val="clear" w:color="auto" w:fill="FFFFFF"/>
        <w:spacing w:after="0" w:line="240" w:lineRule="auto"/>
        <w:rPr>
          <w:rFonts w:ascii="Arial" w:eastAsia="Times New Roman" w:hAnsi="Arial" w:cs="Arial"/>
          <w:b/>
          <w:bCs/>
          <w:color w:val="272727"/>
          <w:sz w:val="21"/>
          <w:szCs w:val="21"/>
          <w:lang w:eastAsia="fr-FR"/>
        </w:rPr>
      </w:pPr>
    </w:p>
    <w:p w:rsidR="00F863DB" w:rsidRPr="00F863DB" w:rsidRDefault="005D437C" w:rsidP="005D437C">
      <w:pPr>
        <w:shd w:val="clear" w:color="auto" w:fill="FFFFFF"/>
        <w:spacing w:after="0" w:line="240" w:lineRule="auto"/>
        <w:rPr>
          <w:rFonts w:ascii="Arial" w:eastAsia="Times New Roman" w:hAnsi="Arial" w:cs="Arial"/>
          <w:color w:val="272727"/>
          <w:sz w:val="21"/>
          <w:szCs w:val="21"/>
          <w:lang w:eastAsia="fr-FR"/>
        </w:rPr>
      </w:pPr>
      <w:r>
        <w:rPr>
          <w:rFonts w:ascii="Arial" w:eastAsia="Times New Roman" w:hAnsi="Arial" w:cs="Arial"/>
          <w:color w:val="272727"/>
          <w:sz w:val="21"/>
          <w:szCs w:val="21"/>
          <w:lang w:eastAsia="fr-FR"/>
        </w:rPr>
        <w:t> </w:t>
      </w:r>
      <w:r w:rsidR="00F863DB" w:rsidRPr="00F863DB">
        <w:rPr>
          <w:rFonts w:ascii="Arial" w:eastAsia="Times New Roman" w:hAnsi="Arial" w:cs="Arial"/>
          <w:color w:val="272727"/>
          <w:sz w:val="21"/>
          <w:szCs w:val="21"/>
          <w:lang w:eastAsia="fr-FR"/>
        </w:rPr>
        <w:t>Les périodes de congé parental ou de disponibilité pour élever un enfant postérieures à la date de publication de la loi de transformation de la fonction publique (</w:t>
      </w:r>
      <w:r w:rsidR="00F863DB" w:rsidRPr="00F863DB">
        <w:rPr>
          <w:rFonts w:ascii="Arial" w:eastAsia="Times New Roman" w:hAnsi="Arial" w:cs="Arial"/>
          <w:b/>
          <w:color w:val="FF0000"/>
          <w:sz w:val="21"/>
          <w:szCs w:val="21"/>
          <w:lang w:eastAsia="fr-FR"/>
        </w:rPr>
        <w:t>7 août 2019</w:t>
      </w:r>
      <w:r w:rsidR="00F863DB" w:rsidRPr="00F863DB">
        <w:rPr>
          <w:rFonts w:ascii="Arial" w:eastAsia="Times New Roman" w:hAnsi="Arial" w:cs="Arial"/>
          <w:color w:val="272727"/>
          <w:sz w:val="21"/>
          <w:szCs w:val="21"/>
          <w:lang w:eastAsia="fr-FR"/>
        </w:rPr>
        <w:t xml:space="preserve">) sont prises en compte pour les droits à avancement d'échelon et de </w:t>
      </w:r>
      <w:r w:rsidRPr="00F863DB">
        <w:rPr>
          <w:rFonts w:ascii="Arial" w:eastAsia="Times New Roman" w:hAnsi="Arial" w:cs="Arial"/>
          <w:color w:val="272727"/>
          <w:sz w:val="21"/>
          <w:szCs w:val="21"/>
          <w:lang w:eastAsia="fr-FR"/>
        </w:rPr>
        <w:t>grade. Les</w:t>
      </w:r>
      <w:r w:rsidR="00F863DB" w:rsidRPr="00F863DB">
        <w:rPr>
          <w:rFonts w:ascii="Arial" w:eastAsia="Times New Roman" w:hAnsi="Arial" w:cs="Arial"/>
          <w:color w:val="272727"/>
          <w:sz w:val="21"/>
          <w:szCs w:val="21"/>
          <w:lang w:eastAsia="fr-FR"/>
        </w:rPr>
        <w:t xml:space="preserve"> autres mesures prévues par le décret entrent en vigueur le lendemain de sa publication (8 mai 2020).</w:t>
      </w:r>
    </w:p>
    <w:p w:rsidR="00B81BE3" w:rsidRDefault="00B81BE3"/>
    <w:sectPr w:rsidR="00B81BE3" w:rsidSect="008C05F5">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AA" w:rsidRDefault="00A35BAA" w:rsidP="005D437C">
      <w:pPr>
        <w:spacing w:after="0" w:line="240" w:lineRule="auto"/>
      </w:pPr>
      <w:r>
        <w:separator/>
      </w:r>
    </w:p>
  </w:endnote>
  <w:endnote w:type="continuationSeparator" w:id="0">
    <w:p w:rsidR="00A35BAA" w:rsidRDefault="00A35BAA" w:rsidP="005D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AA" w:rsidRDefault="00A35BAA" w:rsidP="005D437C">
      <w:pPr>
        <w:spacing w:after="0" w:line="240" w:lineRule="auto"/>
      </w:pPr>
      <w:r>
        <w:separator/>
      </w:r>
    </w:p>
  </w:footnote>
  <w:footnote w:type="continuationSeparator" w:id="0">
    <w:p w:rsidR="00A35BAA" w:rsidRDefault="00A35BAA" w:rsidP="005D4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1425"/>
    <w:multiLevelType w:val="multilevel"/>
    <w:tmpl w:val="E9B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54247"/>
    <w:multiLevelType w:val="multilevel"/>
    <w:tmpl w:val="CDD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B1C7E"/>
    <w:multiLevelType w:val="hybridMultilevel"/>
    <w:tmpl w:val="F39EA24A"/>
    <w:lvl w:ilvl="0" w:tplc="1E8079B0">
      <w:numFmt w:val="bullet"/>
      <w:lvlText w:val="-"/>
      <w:lvlJc w:val="left"/>
      <w:pPr>
        <w:ind w:left="720" w:hanging="360"/>
      </w:pPr>
      <w:rPr>
        <w:rFonts w:ascii="Arial" w:eastAsia="Times New Roman" w:hAnsi="Arial" w:cs="Arial" w:hint="default"/>
        <w:color w:val="2727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491B39"/>
    <w:multiLevelType w:val="multilevel"/>
    <w:tmpl w:val="2A5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DB"/>
    <w:rsid w:val="00096841"/>
    <w:rsid w:val="002A0D76"/>
    <w:rsid w:val="005D437C"/>
    <w:rsid w:val="008C05F5"/>
    <w:rsid w:val="00A35BAA"/>
    <w:rsid w:val="00B81BE3"/>
    <w:rsid w:val="00F85618"/>
    <w:rsid w:val="00F86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3DB"/>
    <w:rPr>
      <w:rFonts w:ascii="Tahoma" w:hAnsi="Tahoma" w:cs="Tahoma"/>
      <w:sz w:val="16"/>
      <w:szCs w:val="16"/>
    </w:rPr>
  </w:style>
  <w:style w:type="paragraph" w:styleId="Paragraphedeliste">
    <w:name w:val="List Paragraph"/>
    <w:basedOn w:val="Normal"/>
    <w:uiPriority w:val="34"/>
    <w:qFormat/>
    <w:rsid w:val="002A0D76"/>
    <w:pPr>
      <w:ind w:left="720"/>
      <w:contextualSpacing/>
    </w:pPr>
  </w:style>
  <w:style w:type="table" w:styleId="Grilledutableau">
    <w:name w:val="Table Grid"/>
    <w:basedOn w:val="TableauNormal"/>
    <w:uiPriority w:val="59"/>
    <w:rsid w:val="00F8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37C"/>
    <w:pPr>
      <w:tabs>
        <w:tab w:val="center" w:pos="4536"/>
        <w:tab w:val="right" w:pos="9072"/>
      </w:tabs>
      <w:spacing w:after="0" w:line="240" w:lineRule="auto"/>
    </w:pPr>
  </w:style>
  <w:style w:type="character" w:customStyle="1" w:styleId="En-tteCar">
    <w:name w:val="En-tête Car"/>
    <w:basedOn w:val="Policepardfaut"/>
    <w:link w:val="En-tte"/>
    <w:uiPriority w:val="99"/>
    <w:rsid w:val="005D437C"/>
  </w:style>
  <w:style w:type="paragraph" w:styleId="Pieddepage">
    <w:name w:val="footer"/>
    <w:basedOn w:val="Normal"/>
    <w:link w:val="PieddepageCar"/>
    <w:uiPriority w:val="99"/>
    <w:unhideWhenUsed/>
    <w:rsid w:val="005D4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3DB"/>
    <w:rPr>
      <w:rFonts w:ascii="Tahoma" w:hAnsi="Tahoma" w:cs="Tahoma"/>
      <w:sz w:val="16"/>
      <w:szCs w:val="16"/>
    </w:rPr>
  </w:style>
  <w:style w:type="paragraph" w:styleId="Paragraphedeliste">
    <w:name w:val="List Paragraph"/>
    <w:basedOn w:val="Normal"/>
    <w:uiPriority w:val="34"/>
    <w:qFormat/>
    <w:rsid w:val="002A0D76"/>
    <w:pPr>
      <w:ind w:left="720"/>
      <w:contextualSpacing/>
    </w:pPr>
  </w:style>
  <w:style w:type="table" w:styleId="Grilledutableau">
    <w:name w:val="Table Grid"/>
    <w:basedOn w:val="TableauNormal"/>
    <w:uiPriority w:val="59"/>
    <w:rsid w:val="00F8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37C"/>
    <w:pPr>
      <w:tabs>
        <w:tab w:val="center" w:pos="4536"/>
        <w:tab w:val="right" w:pos="9072"/>
      </w:tabs>
      <w:spacing w:after="0" w:line="240" w:lineRule="auto"/>
    </w:pPr>
  </w:style>
  <w:style w:type="character" w:customStyle="1" w:styleId="En-tteCar">
    <w:name w:val="En-tête Car"/>
    <w:basedOn w:val="Policepardfaut"/>
    <w:link w:val="En-tte"/>
    <w:uiPriority w:val="99"/>
    <w:rsid w:val="005D437C"/>
  </w:style>
  <w:style w:type="paragraph" w:styleId="Pieddepage">
    <w:name w:val="footer"/>
    <w:basedOn w:val="Normal"/>
    <w:link w:val="PieddepageCar"/>
    <w:uiPriority w:val="99"/>
    <w:unhideWhenUsed/>
    <w:rsid w:val="005D4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6202">
      <w:bodyDiv w:val="1"/>
      <w:marLeft w:val="0"/>
      <w:marRight w:val="0"/>
      <w:marTop w:val="0"/>
      <w:marBottom w:val="0"/>
      <w:divBdr>
        <w:top w:val="none" w:sz="0" w:space="0" w:color="auto"/>
        <w:left w:val="none" w:sz="0" w:space="0" w:color="auto"/>
        <w:bottom w:val="none" w:sz="0" w:space="0" w:color="auto"/>
        <w:right w:val="none" w:sz="0" w:space="0" w:color="auto"/>
      </w:divBdr>
    </w:div>
    <w:div w:id="78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AOUACHERIA, Ali</dc:creator>
  <cp:lastModifiedBy>AOUACHERIA, Ali</cp:lastModifiedBy>
  <cp:revision>1</cp:revision>
  <dcterms:created xsi:type="dcterms:W3CDTF">2020-05-15T08:12:00Z</dcterms:created>
  <dcterms:modified xsi:type="dcterms:W3CDTF">2020-05-15T09:05:00Z</dcterms:modified>
</cp:coreProperties>
</file>