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93" w:rsidRDefault="009D4133" w:rsidP="00D40E93">
      <w:p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CC1111"/>
          <w:kern w:val="36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FE1B" wp14:editId="3CA43C82">
                <wp:simplePos x="0" y="0"/>
                <wp:positionH relativeFrom="column">
                  <wp:posOffset>1341120</wp:posOffset>
                </wp:positionH>
                <wp:positionV relativeFrom="paragraph">
                  <wp:posOffset>982980</wp:posOffset>
                </wp:positionV>
                <wp:extent cx="5048250" cy="8001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654" w:rsidRPr="00845654" w:rsidRDefault="00845654" w:rsidP="004330B2">
                            <w:pPr>
                              <w:shd w:val="clear" w:color="auto" w:fill="FFFFFF"/>
                              <w:spacing w:before="100" w:beforeAutospacing="1" w:after="225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4565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Devant l’insistance de la CGT santé</w:t>
                            </w:r>
                            <w:r w:rsidRPr="00D40E9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Pr="0084565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 le Ministère publie enfin les taux de promotion 2018. </w:t>
                            </w:r>
                            <w:r w:rsidRPr="00D40E9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Cette publication intervient alors que vous étiez nombreuses-eux à nous interpeller sur la tenue des prochaines CAP d’avancements de grades</w:t>
                            </w:r>
                            <w:r w:rsidRPr="0084565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. Pour le GHS les commissions paritaires auront lieues en octobre 2018. </w:t>
                            </w:r>
                          </w:p>
                          <w:p w:rsidR="00845654" w:rsidRDefault="0084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5.6pt;margin-top:77.4pt;width:39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" fillcolor="white [3201]" strokeweight=".5pt">
                <v:textbox>
                  <w:txbxContent>
                    <w:p w:rsidR="00845654" w:rsidRPr="00845654" w:rsidRDefault="00845654" w:rsidP="004330B2">
                      <w:pPr>
                        <w:shd w:val="clear" w:color="auto" w:fill="FFFFFF"/>
                        <w:spacing w:before="100" w:beforeAutospacing="1" w:after="225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fr-FR"/>
                        </w:rPr>
                      </w:pPr>
                      <w:r w:rsidRPr="0084565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fr-FR"/>
                        </w:rPr>
                        <w:t>Devant l’insistance de la CGT santé</w:t>
                      </w:r>
                      <w:r w:rsidRPr="00D40E93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Pr="0084565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fr-FR"/>
                        </w:rPr>
                        <w:t xml:space="preserve"> le Ministère publie enfin les taux de promotion 2018. </w:t>
                      </w:r>
                      <w:r w:rsidRPr="00D40E93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fr-FR"/>
                        </w:rPr>
                        <w:t>Cette publication intervient alors que vous étiez nombreuses-eux à nous interpeller sur la tenue des prochaines CAP d’avancements de grades</w:t>
                      </w:r>
                      <w:r w:rsidRPr="0084565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fr-FR"/>
                        </w:rPr>
                        <w:t xml:space="preserve">. Pour le GHS les commissions paritaires auront lieues en octobre 2018. </w:t>
                      </w:r>
                    </w:p>
                    <w:p w:rsidR="00845654" w:rsidRDefault="00845654"/>
                  </w:txbxContent>
                </v:textbox>
              </v:shape>
            </w:pict>
          </mc:Fallback>
        </mc:AlternateContent>
      </w:r>
      <w:r w:rsidR="00F13C8F" w:rsidRPr="00D40E9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E465" wp14:editId="525CC0DF">
                <wp:simplePos x="0" y="0"/>
                <wp:positionH relativeFrom="column">
                  <wp:posOffset>-182880</wp:posOffset>
                </wp:positionH>
                <wp:positionV relativeFrom="paragraph">
                  <wp:posOffset>1405890</wp:posOffset>
                </wp:positionV>
                <wp:extent cx="1190625" cy="2952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93" w:rsidRPr="00D40E93" w:rsidRDefault="00D40E93" w:rsidP="00F13C8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0E93">
                              <w:rPr>
                                <w:b/>
                                <w:sz w:val="20"/>
                                <w:szCs w:val="20"/>
                              </w:rPr>
                              <w:t>CGT GHS</w:t>
                            </w:r>
                            <w:r w:rsidR="00F13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0E93">
                              <w:rPr>
                                <w:b/>
                                <w:sz w:val="20"/>
                                <w:szCs w:val="20"/>
                              </w:rPr>
                              <w:t>36 17 11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4.4pt;margin-top:110.7pt;width:9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" stroked="f">
                <v:textbox>
                  <w:txbxContent>
                    <w:p w:rsidR="00D40E93" w:rsidRPr="00D40E93" w:rsidRDefault="00D40E93" w:rsidP="00F13C8F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0E93">
                        <w:rPr>
                          <w:b/>
                          <w:sz w:val="20"/>
                          <w:szCs w:val="20"/>
                        </w:rPr>
                        <w:t>CGT GHS</w:t>
                      </w:r>
                      <w:r w:rsidR="00F13C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40E93">
                        <w:rPr>
                          <w:b/>
                          <w:sz w:val="20"/>
                          <w:szCs w:val="20"/>
                        </w:rPr>
                        <w:t>36 17 11</w:t>
                      </w:r>
                    </w:p>
                  </w:txbxContent>
                </v:textbox>
              </v:shape>
            </w:pict>
          </mc:Fallback>
        </mc:AlternateContent>
      </w:r>
      <w:r w:rsidR="004330B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3546" wp14:editId="2F639E0A">
                <wp:simplePos x="0" y="0"/>
                <wp:positionH relativeFrom="column">
                  <wp:posOffset>1614805</wp:posOffset>
                </wp:positionH>
                <wp:positionV relativeFrom="paragraph">
                  <wp:posOffset>135890</wp:posOffset>
                </wp:positionV>
                <wp:extent cx="4581525" cy="819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93" w:rsidRPr="00D40E93" w:rsidRDefault="00D40E93" w:rsidP="00D40E93">
                            <w:pPr>
                              <w:spacing w:before="225" w:after="225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D40E9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kern w:val="36"/>
                                <w:sz w:val="36"/>
                                <w:szCs w:val="36"/>
                                <w:lang w:eastAsia="fr-FR"/>
                              </w:rPr>
                              <w:t>CAP avancements de grades : les taux de promotion 2018 enfin publiés !</w:t>
                            </w:r>
                          </w:p>
                          <w:p w:rsidR="00D40E93" w:rsidRDefault="00D40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27.15pt;margin-top:10.7pt;width:360.7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" fillcolor="white [3201]" stroked="f" strokeweight=".5pt">
                <v:textbox>
                  <w:txbxContent>
                    <w:p w:rsidR="00D40E93" w:rsidRPr="00D40E93" w:rsidRDefault="00D40E93" w:rsidP="00D40E93">
                      <w:pPr>
                        <w:spacing w:before="225" w:after="225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36"/>
                          <w:szCs w:val="36"/>
                          <w:lang w:eastAsia="fr-FR"/>
                        </w:rPr>
                      </w:pPr>
                      <w:r w:rsidRPr="00D40E9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kern w:val="36"/>
                          <w:sz w:val="36"/>
                          <w:szCs w:val="36"/>
                          <w:lang w:eastAsia="fr-FR"/>
                        </w:rPr>
                        <w:t>CAP avancements de grades : les taux de promotion 2018 enfin publiés !</w:t>
                      </w:r>
                    </w:p>
                    <w:p w:rsidR="00D40E93" w:rsidRDefault="00D40E93"/>
                  </w:txbxContent>
                </v:textbox>
              </v:shape>
            </w:pict>
          </mc:Fallback>
        </mc:AlternateContent>
      </w:r>
      <w:r w:rsidR="004330B2">
        <w:rPr>
          <w:noProof/>
          <w:color w:val="0000FF"/>
          <w:lang w:eastAsia="fr-FR"/>
        </w:rPr>
        <w:drawing>
          <wp:inline distT="0" distB="0" distL="0" distR="0" wp14:anchorId="1BB2B6C8" wp14:editId="321AE5A2">
            <wp:extent cx="904875" cy="1145107"/>
            <wp:effectExtent l="0" t="0" r="0" b="0"/>
            <wp:docPr id="2" name="Image 2" descr="Fichier:Logo CGT Santé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chier:Logo CGT Santé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82" cy="114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E93" w:rsidRDefault="00D40E93" w:rsidP="00D40E93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1111"/>
          <w:kern w:val="36"/>
          <w:sz w:val="36"/>
          <w:szCs w:val="36"/>
          <w:lang w:eastAsia="fr-FR"/>
        </w:rPr>
      </w:pPr>
    </w:p>
    <w:p w:rsidR="00845654" w:rsidRPr="004330B2" w:rsidRDefault="009B7C68" w:rsidP="004330B2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L’arrêté du 11 octobre 2007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détermine les taux de promotion applicables pour certains corps et grades des agents de la fonction publique </w:t>
      </w:r>
      <w:r w:rsidR="00845654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>hospitalière. L’arrêté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23 mai 2018, modifiant</w:t>
      </w:r>
      <w:r w:rsidR="008456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celui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octobre 2007, a été publié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fixe les taux de promotion dans certains corps de la fonction pu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blique hospitalière pour 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2018.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fixés ci-dessous par </w:t>
      </w:r>
      <w:r w:rsidR="00845654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>filière</w:t>
      </w:r>
      <w:r w:rsidR="00D40E93" w:rsidRPr="00D40E9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5159"/>
        <w:gridCol w:w="675"/>
        <w:gridCol w:w="3222"/>
        <w:gridCol w:w="620"/>
      </w:tblGrid>
      <w:tr w:rsidR="00DE16A0" w:rsidRPr="00DE16A0" w:rsidTr="004D4806">
        <w:trPr>
          <w:trHeight w:val="1120"/>
        </w:trPr>
        <w:tc>
          <w:tcPr>
            <w:tcW w:w="0" w:type="auto"/>
            <w:gridSpan w:val="2"/>
            <w:vAlign w:val="center"/>
          </w:tcPr>
          <w:p w:rsidR="00DE16A0" w:rsidRPr="00DE16A0" w:rsidRDefault="00DE16A0" w:rsidP="004330B2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Filière administrative</w:t>
            </w:r>
          </w:p>
        </w:tc>
        <w:tc>
          <w:tcPr>
            <w:tcW w:w="0" w:type="auto"/>
            <w:gridSpan w:val="2"/>
            <w:vAlign w:val="center"/>
          </w:tcPr>
          <w:p w:rsidR="004330B2" w:rsidRDefault="004330B2" w:rsidP="004330B2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DE16A0" w:rsidRPr="00D40E93" w:rsidRDefault="00DE16A0" w:rsidP="004330B2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Filière ouvrière et technique</w:t>
            </w:r>
          </w:p>
          <w:p w:rsidR="00DE16A0" w:rsidRDefault="00DE16A0" w:rsidP="004330B2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16A0" w:rsidRPr="00DE16A0" w:rsidTr="009B7C68">
        <w:trPr>
          <w:trHeight w:val="391"/>
        </w:trPr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Attaché d’administration principal 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16A0">
              <w:rPr>
                <w:rFonts w:ascii="Times New Roman" w:eastAsia="Times New Roman" w:hAnsi="Times New Roman" w:cs="Times New Roman"/>
                <w:lang w:eastAsia="fr-FR"/>
              </w:rPr>
              <w:t>9 %</w:t>
            </w:r>
          </w:p>
        </w:tc>
        <w:tc>
          <w:tcPr>
            <w:tcW w:w="0" w:type="auto"/>
          </w:tcPr>
          <w:p w:rsidR="00DE16A0" w:rsidRPr="00DE16A0" w:rsidRDefault="00DE16A0" w:rsidP="00845654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Dessinateur principal </w:t>
            </w:r>
          </w:p>
        </w:tc>
        <w:tc>
          <w:tcPr>
            <w:tcW w:w="0" w:type="auto"/>
          </w:tcPr>
          <w:p w:rsidR="00DE16A0" w:rsidRPr="00DE16A0" w:rsidRDefault="00DE16A0" w:rsidP="00845654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10%</w:t>
            </w:r>
          </w:p>
        </w:tc>
      </w:tr>
      <w:tr w:rsidR="00DE16A0" w:rsidRPr="00DE16A0" w:rsidTr="009B7C68">
        <w:trPr>
          <w:trHeight w:val="313"/>
        </w:trPr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Adjoint des cadres hospitalier de classe supérieure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13 %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Conducteur ambulancier principal 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5%</w:t>
            </w:r>
          </w:p>
        </w:tc>
      </w:tr>
      <w:tr w:rsidR="00DE16A0" w:rsidRPr="00DE16A0" w:rsidTr="009B7C68"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Adjoint des cadres hospitalier de classe exceptionnelle 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16A0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Ouvrier principal de 2</w:t>
            </w:r>
            <w:r w:rsidRPr="00DE16A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classe </w:t>
            </w:r>
          </w:p>
        </w:tc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6%</w:t>
            </w:r>
          </w:p>
        </w:tc>
      </w:tr>
      <w:tr w:rsidR="00DE16A0" w:rsidRPr="00DE16A0" w:rsidTr="009B7C68"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Assistant médico-administratif de classe supérieure 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8 %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Ouvrier principal de 1</w:t>
            </w:r>
            <w:r w:rsidRPr="00DE16A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classe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7%</w:t>
            </w:r>
          </w:p>
        </w:tc>
      </w:tr>
      <w:tr w:rsidR="00DE16A0" w:rsidRPr="00DE16A0" w:rsidTr="009B7C68"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Assistant médico-administratif de classe exceptionnelle 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8 %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Agent de maîtrise principal 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15%</w:t>
            </w:r>
          </w:p>
        </w:tc>
      </w:tr>
      <w:tr w:rsidR="00DE16A0" w:rsidRPr="00DE16A0" w:rsidTr="009B7C68"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Adjoint administratif principal de 2ème classe 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6 %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TSH de 2</w:t>
            </w:r>
            <w:r w:rsidRPr="00DE16A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classe </w:t>
            </w:r>
          </w:p>
        </w:tc>
        <w:tc>
          <w:tcPr>
            <w:tcW w:w="0" w:type="auto"/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10%</w:t>
            </w:r>
          </w:p>
        </w:tc>
      </w:tr>
      <w:tr w:rsidR="00DE16A0" w:rsidRPr="00DE16A0" w:rsidTr="009B7C68">
        <w:tc>
          <w:tcPr>
            <w:tcW w:w="0" w:type="auto"/>
          </w:tcPr>
          <w:p w:rsidR="00DE16A0" w:rsidRPr="00DE16A0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Adjoint administratif principal de 1re classe </w:t>
            </w:r>
          </w:p>
        </w:tc>
        <w:tc>
          <w:tcPr>
            <w:tcW w:w="0" w:type="auto"/>
            <w:vAlign w:val="center"/>
          </w:tcPr>
          <w:p w:rsidR="00DE16A0" w:rsidRPr="00DE16A0" w:rsidRDefault="00DE16A0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5 %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TSH de 1</w:t>
            </w:r>
            <w:r w:rsidRPr="00DE16A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classe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E16A0" w:rsidRPr="00D40E93" w:rsidRDefault="00DE16A0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13%</w:t>
            </w:r>
          </w:p>
        </w:tc>
      </w:tr>
      <w:tr w:rsidR="004330B2" w:rsidRPr="00DE16A0" w:rsidTr="009B7C68">
        <w:tc>
          <w:tcPr>
            <w:tcW w:w="0" w:type="auto"/>
          </w:tcPr>
          <w:p w:rsidR="004330B2" w:rsidRPr="00DE16A0" w:rsidRDefault="004330B2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Permanencier auxiliaire de régulation médicale chef </w:t>
            </w:r>
          </w:p>
        </w:tc>
        <w:tc>
          <w:tcPr>
            <w:tcW w:w="0" w:type="auto"/>
            <w:vAlign w:val="center"/>
          </w:tcPr>
          <w:p w:rsidR="004330B2" w:rsidRPr="00DE16A0" w:rsidRDefault="004330B2" w:rsidP="009B7C68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13 %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330B2" w:rsidRPr="00D40E93" w:rsidRDefault="004330B2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143" w:tblpY="662"/>
        <w:tblW w:w="6062" w:type="dxa"/>
        <w:tblLook w:val="04A0" w:firstRow="1" w:lastRow="0" w:firstColumn="1" w:lastColumn="0" w:noHBand="0" w:noVBand="1"/>
      </w:tblPr>
      <w:tblGrid>
        <w:gridCol w:w="5346"/>
        <w:gridCol w:w="716"/>
      </w:tblGrid>
      <w:tr w:rsidR="004330B2" w:rsidTr="00893F09">
        <w:trPr>
          <w:trHeight w:val="986"/>
        </w:trPr>
        <w:tc>
          <w:tcPr>
            <w:tcW w:w="6062" w:type="dxa"/>
            <w:gridSpan w:val="2"/>
            <w:vAlign w:val="center"/>
          </w:tcPr>
          <w:p w:rsidR="004330B2" w:rsidRPr="00F13C8F" w:rsidRDefault="004330B2" w:rsidP="00893F09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4330B2" w:rsidRPr="00D40E93" w:rsidRDefault="004330B2" w:rsidP="00893F09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Filière soignante</w:t>
            </w:r>
          </w:p>
          <w:p w:rsidR="004330B2" w:rsidRPr="00F13C8F" w:rsidRDefault="004330B2" w:rsidP="00222A5E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4330B2" w:rsidTr="00893F09">
        <w:tc>
          <w:tcPr>
            <w:tcW w:w="534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Agent des services hospitaliers qualifié de classe supérieure </w:t>
            </w:r>
          </w:p>
        </w:tc>
        <w:tc>
          <w:tcPr>
            <w:tcW w:w="71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10 %</w:t>
            </w:r>
          </w:p>
        </w:tc>
      </w:tr>
      <w:tr w:rsidR="004330B2" w:rsidTr="00893F09">
        <w:tc>
          <w:tcPr>
            <w:tcW w:w="534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Aide-soignant principal </w:t>
            </w:r>
          </w:p>
        </w:tc>
        <w:tc>
          <w:tcPr>
            <w:tcW w:w="71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8 %</w:t>
            </w:r>
          </w:p>
        </w:tc>
      </w:tr>
      <w:tr w:rsidR="004330B2" w:rsidTr="00893F09">
        <w:tc>
          <w:tcPr>
            <w:tcW w:w="534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Infirmier catégorie B de classe supérieure </w:t>
            </w:r>
          </w:p>
        </w:tc>
        <w:tc>
          <w:tcPr>
            <w:tcW w:w="71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15 %</w:t>
            </w:r>
          </w:p>
        </w:tc>
      </w:tr>
      <w:tr w:rsidR="004330B2" w:rsidTr="00893F09">
        <w:tc>
          <w:tcPr>
            <w:tcW w:w="534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Infirmier catégorie A en soins généraux deuxième grade </w:t>
            </w:r>
          </w:p>
        </w:tc>
        <w:tc>
          <w:tcPr>
            <w:tcW w:w="716" w:type="dxa"/>
          </w:tcPr>
          <w:p w:rsidR="004330B2" w:rsidRPr="00F13C8F" w:rsidRDefault="00AD4370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</w:tbl>
    <w:p w:rsidR="00D40E93" w:rsidRPr="00D40E93" w:rsidRDefault="00D40E93" w:rsidP="00F13C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F13C8F" w:rsidTr="009B7C68">
        <w:trPr>
          <w:trHeight w:val="642"/>
        </w:trPr>
        <w:tc>
          <w:tcPr>
            <w:tcW w:w="3369" w:type="dxa"/>
            <w:gridSpan w:val="2"/>
            <w:vAlign w:val="center"/>
          </w:tcPr>
          <w:p w:rsidR="00F13C8F" w:rsidRPr="00F13C8F" w:rsidRDefault="00F13C8F" w:rsidP="00F13C8F">
            <w:pPr>
              <w:pStyle w:val="Paragraphedeliste"/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F13C8F" w:rsidRPr="00222A5E" w:rsidRDefault="00F13C8F" w:rsidP="00222A5E">
            <w:pPr>
              <w:pStyle w:val="Paragraphedeliste"/>
              <w:shd w:val="clear" w:color="auto" w:fill="FFFFFF"/>
              <w:spacing w:before="100" w:beforeAutospacing="1" w:after="225"/>
              <w:rPr>
                <w:rFonts w:ascii="Times New Roman" w:eastAsia="Times New Roman" w:hAnsi="Times New Roman" w:cs="Times New Roman"/>
                <w:lang w:eastAsia="fr-FR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Psychologues</w:t>
            </w:r>
          </w:p>
        </w:tc>
      </w:tr>
      <w:tr w:rsidR="00F13C8F" w:rsidTr="009B7C68">
        <w:tc>
          <w:tcPr>
            <w:tcW w:w="2235" w:type="dxa"/>
          </w:tcPr>
          <w:p w:rsidR="00F13C8F" w:rsidRPr="00F13C8F" w:rsidRDefault="00F13C8F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Psychologue hors classe</w:t>
            </w:r>
          </w:p>
        </w:tc>
        <w:tc>
          <w:tcPr>
            <w:tcW w:w="1134" w:type="dxa"/>
          </w:tcPr>
          <w:p w:rsidR="00F13C8F" w:rsidRPr="00F13C8F" w:rsidRDefault="00F13C8F" w:rsidP="00D40E93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9 %</w:t>
            </w:r>
          </w:p>
        </w:tc>
      </w:tr>
    </w:tbl>
    <w:tbl>
      <w:tblPr>
        <w:tblStyle w:val="Grilledutableau"/>
        <w:tblpPr w:leftFromText="141" w:rightFromText="141" w:vertAnchor="text" w:horzAnchor="margin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</w:tblGrid>
      <w:tr w:rsidR="00893F09" w:rsidTr="00893F09">
        <w:tc>
          <w:tcPr>
            <w:tcW w:w="3794" w:type="dxa"/>
            <w:gridSpan w:val="2"/>
            <w:vAlign w:val="center"/>
          </w:tcPr>
          <w:p w:rsidR="00893F09" w:rsidRPr="00893F09" w:rsidRDefault="00893F09" w:rsidP="00893F09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893F0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Sage-femme</w:t>
            </w:r>
          </w:p>
        </w:tc>
      </w:tr>
      <w:tr w:rsidR="00893F09" w:rsidTr="00893F09">
        <w:tc>
          <w:tcPr>
            <w:tcW w:w="3085" w:type="dxa"/>
          </w:tcPr>
          <w:p w:rsidR="00893F09" w:rsidRPr="00893F09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Sage-femme des hôpitaux du second grade </w:t>
            </w:r>
          </w:p>
        </w:tc>
        <w:tc>
          <w:tcPr>
            <w:tcW w:w="709" w:type="dxa"/>
          </w:tcPr>
          <w:p w:rsidR="00893F09" w:rsidRPr="00893F09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10 %</w:t>
            </w:r>
          </w:p>
        </w:tc>
      </w:tr>
    </w:tbl>
    <w:p w:rsidR="004330B2" w:rsidRDefault="004330B2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B7C68" w:rsidRDefault="009B7C68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B7C68" w:rsidRDefault="009B7C68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306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893F09" w:rsidTr="004D4806">
        <w:tc>
          <w:tcPr>
            <w:tcW w:w="4786" w:type="dxa"/>
            <w:gridSpan w:val="2"/>
            <w:vAlign w:val="center"/>
          </w:tcPr>
          <w:p w:rsidR="00893F09" w:rsidRPr="00AD4370" w:rsidRDefault="00893F09" w:rsidP="00893F09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893F09" w:rsidRPr="00D40E93" w:rsidRDefault="00893F09" w:rsidP="00893F09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Filière de rééducation</w:t>
            </w:r>
          </w:p>
          <w:p w:rsidR="00893F09" w:rsidRPr="00AD4370" w:rsidRDefault="00893F09" w:rsidP="00893F09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Pédicure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Masseur-kinésithérapeute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Ergothérapeute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Psychomotricien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Orthophoniste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Orthoptiste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893F09" w:rsidTr="004D4806">
        <w:tc>
          <w:tcPr>
            <w:tcW w:w="4077" w:type="dxa"/>
            <w:vAlign w:val="center"/>
          </w:tcPr>
          <w:p w:rsidR="00893F09" w:rsidRPr="00AD4370" w:rsidRDefault="00893F09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Diététicien de classe supérieure</w:t>
            </w:r>
          </w:p>
        </w:tc>
        <w:tc>
          <w:tcPr>
            <w:tcW w:w="709" w:type="dxa"/>
          </w:tcPr>
          <w:p w:rsidR="00893F09" w:rsidRPr="00AD4370" w:rsidRDefault="00893F09" w:rsidP="00893F09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13 %</w:t>
            </w:r>
          </w:p>
        </w:tc>
      </w:tr>
    </w:tbl>
    <w:tbl>
      <w:tblPr>
        <w:tblStyle w:val="Grilledutableau"/>
        <w:tblpPr w:leftFromText="141" w:rightFromText="141" w:vertAnchor="text" w:horzAnchor="page" w:tblpX="5848" w:tblpY="386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  <w:gridCol w:w="1134"/>
      </w:tblGrid>
      <w:tr w:rsidR="004D4806" w:rsidTr="004D4806">
        <w:tc>
          <w:tcPr>
            <w:tcW w:w="5103" w:type="dxa"/>
            <w:gridSpan w:val="2"/>
            <w:vAlign w:val="center"/>
          </w:tcPr>
          <w:p w:rsidR="004D4806" w:rsidRDefault="004D4806" w:rsidP="004D4806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  <w:p w:rsidR="004D4806" w:rsidRPr="00D40E93" w:rsidRDefault="004D4806" w:rsidP="004D4806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Filière 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médicotechnique</w:t>
            </w:r>
          </w:p>
          <w:p w:rsidR="004D4806" w:rsidRPr="00F13C8F" w:rsidRDefault="004D4806" w:rsidP="004D4806">
            <w:pPr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4D4806" w:rsidTr="004D4806">
        <w:tc>
          <w:tcPr>
            <w:tcW w:w="3969" w:type="dxa"/>
          </w:tcPr>
          <w:p w:rsidR="004D4806" w:rsidRPr="00F13C8F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Manipulateur en électroradiologie de classe supérieure </w:t>
            </w:r>
          </w:p>
        </w:tc>
        <w:tc>
          <w:tcPr>
            <w:tcW w:w="1134" w:type="dxa"/>
          </w:tcPr>
          <w:p w:rsidR="004D4806" w:rsidRPr="00F13C8F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11 %</w:t>
            </w:r>
          </w:p>
        </w:tc>
      </w:tr>
      <w:tr w:rsidR="004D4806" w:rsidTr="004D4806">
        <w:tc>
          <w:tcPr>
            <w:tcW w:w="3969" w:type="dxa"/>
          </w:tcPr>
          <w:p w:rsidR="004D4806" w:rsidRPr="00F13C8F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Technicien de laboratoire médical de classe supérieure </w:t>
            </w:r>
          </w:p>
        </w:tc>
        <w:tc>
          <w:tcPr>
            <w:tcW w:w="1134" w:type="dxa"/>
          </w:tcPr>
          <w:p w:rsidR="004D4806" w:rsidRPr="00F13C8F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15 %</w:t>
            </w:r>
          </w:p>
        </w:tc>
      </w:tr>
      <w:tr w:rsidR="004D4806" w:rsidTr="004D4806">
        <w:tc>
          <w:tcPr>
            <w:tcW w:w="3969" w:type="dxa"/>
          </w:tcPr>
          <w:p w:rsidR="004D4806" w:rsidRPr="00F13C8F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Préparateur en pharmacie hospitalière </w:t>
            </w:r>
          </w:p>
        </w:tc>
        <w:tc>
          <w:tcPr>
            <w:tcW w:w="1134" w:type="dxa"/>
          </w:tcPr>
          <w:p w:rsidR="004D4806" w:rsidRPr="00F13C8F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12 %</w:t>
            </w:r>
          </w:p>
        </w:tc>
      </w:tr>
    </w:tbl>
    <w:tbl>
      <w:tblPr>
        <w:tblStyle w:val="Grilledutableau"/>
        <w:tblpPr w:leftFromText="141" w:rightFromText="141" w:vertAnchor="page" w:horzAnchor="page" w:tblpX="5788" w:tblpY="4606"/>
        <w:tblW w:w="0" w:type="auto"/>
        <w:tblLook w:val="04A0" w:firstRow="1" w:lastRow="0" w:firstColumn="1" w:lastColumn="0" w:noHBand="0" w:noVBand="1"/>
      </w:tblPr>
      <w:tblGrid>
        <w:gridCol w:w="3369"/>
        <w:gridCol w:w="708"/>
      </w:tblGrid>
      <w:tr w:rsidR="004D4806" w:rsidTr="004D4806">
        <w:trPr>
          <w:trHeight w:val="1266"/>
        </w:trPr>
        <w:tc>
          <w:tcPr>
            <w:tcW w:w="4077" w:type="dxa"/>
            <w:gridSpan w:val="2"/>
          </w:tcPr>
          <w:p w:rsidR="004D4806" w:rsidRDefault="004D4806" w:rsidP="004D4806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D4806" w:rsidRPr="00D40E93" w:rsidRDefault="004D4806" w:rsidP="004D4806">
            <w:pPr>
              <w:shd w:val="clear" w:color="auto" w:fill="FFFFFF"/>
              <w:spacing w:before="100" w:beforeAutospacing="1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Filière socio-éducative</w:t>
            </w:r>
          </w:p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Conseiller en économie sociale et familiale de classe supérieure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15 %</w:t>
            </w: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Éducateur technique spécialisé de classe supérieure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12 %</w:t>
            </w: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Éducateur de jeunes enfants de classe supérieure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12 %</w:t>
            </w: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Animateur principal 2ème classe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12 %</w:t>
            </w: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Animateur principal 1ère classe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8 %</w:t>
            </w: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Assistant socio-éducatif principal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10 %</w:t>
            </w:r>
          </w:p>
        </w:tc>
      </w:tr>
      <w:tr w:rsidR="004D4806" w:rsidTr="004D4806">
        <w:tc>
          <w:tcPr>
            <w:tcW w:w="3369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Moniteur-éducateur principal </w:t>
            </w:r>
          </w:p>
        </w:tc>
        <w:tc>
          <w:tcPr>
            <w:tcW w:w="708" w:type="dxa"/>
          </w:tcPr>
          <w:p w:rsidR="004D4806" w:rsidRDefault="004D4806" w:rsidP="004D4806">
            <w:pPr>
              <w:spacing w:before="100" w:beforeAutospacing="1" w:after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40E93">
              <w:rPr>
                <w:rFonts w:ascii="Times New Roman" w:eastAsia="Times New Roman" w:hAnsi="Times New Roman" w:cs="Times New Roman"/>
                <w:lang w:eastAsia="fr-FR"/>
              </w:rPr>
              <w:t>8 %</w:t>
            </w:r>
          </w:p>
        </w:tc>
      </w:tr>
    </w:tbl>
    <w:p w:rsidR="00AD4370" w:rsidRDefault="00AD4370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B7C68" w:rsidRDefault="009B7C68" w:rsidP="00222A5E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30"/>
          <w:szCs w:val="30"/>
        </w:rPr>
      </w:pPr>
    </w:p>
    <w:p w:rsidR="009B7C68" w:rsidRPr="00534759" w:rsidRDefault="009B7C68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color w:val="FF0000"/>
          <w:sz w:val="30"/>
          <w:szCs w:val="30"/>
        </w:rPr>
      </w:pPr>
      <w:r w:rsidRPr="005347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La CGT rappelle sa revendication d’un déroulement de carrière linéaire.   </w:t>
      </w:r>
    </w:p>
    <w:p w:rsidR="009B7C68" w:rsidRDefault="009B7C68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30"/>
          <w:szCs w:val="30"/>
        </w:rPr>
      </w:pPr>
    </w:p>
    <w:p w:rsidR="00222A5E" w:rsidRPr="009B7C68" w:rsidRDefault="009B7C68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  <w:r w:rsidRPr="009B7C68">
        <w:rPr>
          <w:rFonts w:ascii="Thonburi-Bold" w:hAnsi="Thonburi-Bold" w:cs="Thonburi-Bold"/>
          <w:b/>
          <w:bCs/>
          <w:sz w:val="24"/>
          <w:szCs w:val="24"/>
        </w:rPr>
        <w:t>Cela</w:t>
      </w:r>
      <w:r w:rsidR="00222A5E" w:rsidRPr="009B7C68">
        <w:rPr>
          <w:rFonts w:ascii="Thonburi-Bold" w:hAnsi="Thonburi-Bold" w:cs="Thonburi-Bold"/>
          <w:b/>
          <w:bCs/>
          <w:sz w:val="24"/>
          <w:szCs w:val="24"/>
        </w:rPr>
        <w:t xml:space="preserve"> passe par :</w:t>
      </w:r>
    </w:p>
    <w:p w:rsidR="00222A5E" w:rsidRPr="009B7C68" w:rsidRDefault="00222A5E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  <w:r w:rsidRPr="009B7C68">
        <w:rPr>
          <w:rFonts w:ascii="Thonburi-Bold" w:hAnsi="Thonburi-Bold" w:cs="Thonburi-Bold"/>
          <w:b/>
          <w:bCs/>
          <w:sz w:val="24"/>
          <w:szCs w:val="24"/>
        </w:rPr>
        <w:t>• La suppression des quotas, des ratios et de la notation,</w:t>
      </w:r>
    </w:p>
    <w:p w:rsidR="00222A5E" w:rsidRPr="009B7C68" w:rsidRDefault="00222A5E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  <w:r w:rsidRPr="009B7C68">
        <w:rPr>
          <w:rFonts w:ascii="Thonburi-Bold" w:hAnsi="Thonburi-Bold" w:cs="Thonburi-Bold"/>
          <w:b/>
          <w:bCs/>
          <w:sz w:val="24"/>
          <w:szCs w:val="24"/>
        </w:rPr>
        <w:t>• La création de grilles intégrant automatiquement la classe supérieure,</w:t>
      </w:r>
    </w:p>
    <w:p w:rsidR="00222A5E" w:rsidRPr="009B7C68" w:rsidRDefault="00222A5E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  <w:proofErr w:type="gramStart"/>
      <w:r w:rsidRPr="009B7C68">
        <w:rPr>
          <w:rFonts w:ascii="Thonburi-Bold" w:hAnsi="Thonburi-Bold" w:cs="Thonburi-Bold"/>
          <w:b/>
          <w:bCs/>
          <w:sz w:val="24"/>
          <w:szCs w:val="24"/>
        </w:rPr>
        <w:t>la</w:t>
      </w:r>
      <w:proofErr w:type="gramEnd"/>
      <w:r w:rsidRPr="009B7C68">
        <w:rPr>
          <w:rFonts w:ascii="Thonburi-Bold" w:hAnsi="Thonburi-Bold" w:cs="Thonburi-Bold"/>
          <w:b/>
          <w:bCs/>
          <w:sz w:val="24"/>
          <w:szCs w:val="24"/>
        </w:rPr>
        <w:t xml:space="preserve"> classe exceptionnelle, le principalat…</w:t>
      </w:r>
    </w:p>
    <w:p w:rsidR="009B7C68" w:rsidRDefault="009B7C68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</w:p>
    <w:p w:rsidR="009B7C68" w:rsidRDefault="00222A5E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  <w:r w:rsidRPr="009B7C68">
        <w:rPr>
          <w:rFonts w:ascii="Thonburi-Bold" w:hAnsi="Thonburi-Bold" w:cs="Thonburi-Bold"/>
          <w:b/>
          <w:bCs/>
          <w:sz w:val="24"/>
          <w:szCs w:val="24"/>
        </w:rPr>
        <w:t>Seule la carrière linéaire permet de garantir les intérêts de chacun et de tous. L’individualisation des carrières est source d’opposition entre les agents</w:t>
      </w:r>
    </w:p>
    <w:p w:rsidR="00222A5E" w:rsidRPr="009B7C68" w:rsidRDefault="00222A5E" w:rsidP="009B7C68">
      <w:pPr>
        <w:autoSpaceDE w:val="0"/>
        <w:autoSpaceDN w:val="0"/>
        <w:adjustRightInd w:val="0"/>
        <w:spacing w:after="0" w:line="240" w:lineRule="auto"/>
        <w:rPr>
          <w:rFonts w:ascii="Thonburi-Bold" w:hAnsi="Thonburi-Bold" w:cs="Thonburi-Bold"/>
          <w:b/>
          <w:bCs/>
          <w:sz w:val="24"/>
          <w:szCs w:val="24"/>
        </w:rPr>
      </w:pPr>
      <w:r w:rsidRPr="009B7C68">
        <w:rPr>
          <w:rFonts w:ascii="Thonburi-Bold" w:hAnsi="Thonburi-Bold" w:cs="Thonburi-Bold"/>
          <w:b/>
          <w:bCs/>
          <w:sz w:val="24"/>
          <w:szCs w:val="24"/>
        </w:rPr>
        <w:t xml:space="preserve"> </w:t>
      </w:r>
      <w:proofErr w:type="gramStart"/>
      <w:r w:rsidRPr="009B7C68">
        <w:rPr>
          <w:rFonts w:ascii="Thonburi-Bold" w:hAnsi="Thonburi-Bold" w:cs="Thonburi-Bold"/>
          <w:b/>
          <w:bCs/>
          <w:sz w:val="24"/>
          <w:szCs w:val="24"/>
        </w:rPr>
        <w:t>et</w:t>
      </w:r>
      <w:proofErr w:type="gramEnd"/>
      <w:r w:rsidRPr="009B7C68">
        <w:rPr>
          <w:rFonts w:ascii="Thonburi-Bold" w:hAnsi="Thonburi-Bold" w:cs="Thonburi-Bold"/>
          <w:b/>
          <w:bCs/>
          <w:sz w:val="24"/>
          <w:szCs w:val="24"/>
        </w:rPr>
        <w:t xml:space="preserve"> entraîne la casse du statut.</w:t>
      </w:r>
    </w:p>
    <w:p w:rsidR="00AD4370" w:rsidRDefault="00222A5E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Quasiment dans la totalité des filières, le taux de promotion est en baisse ou a stagné</w:t>
      </w:r>
      <w:r w:rsidR="009B7C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depuis 2017. </w:t>
      </w:r>
      <w:r w:rsidR="0053475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F13C8F" w:rsidRDefault="00ED286B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D286B">
        <w:rPr>
          <w:rFonts w:ascii="Thonburi-Bold" w:hAnsi="Thonburi-Bold" w:cs="Thonburi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7A846" wp14:editId="4F2F3E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8981" cy="2182483"/>
                <wp:effectExtent l="0" t="0" r="1270" b="889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981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6B" w:rsidRDefault="00ED286B" w:rsidP="00ED28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6E78E" wp14:editId="707DDF51">
                                  <wp:extent cx="3776345" cy="2086730"/>
                                  <wp:effectExtent l="0" t="0" r="0" b="8890"/>
                                  <wp:docPr id="5" name="Image 5" descr="Résultat de recherche d'images pour &quot;2018  votez cgt fph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2018  votez cgt fph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6345" cy="208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410.95pt;height:171.8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" stroked="f">
                <v:textbox>
                  <w:txbxContent>
                    <w:p w:rsidR="00ED286B" w:rsidRDefault="00ED286B" w:rsidP="00ED286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6E78E" wp14:editId="707DDF51">
                            <wp:extent cx="3776345" cy="2086730"/>
                            <wp:effectExtent l="0" t="0" r="0" b="8890"/>
                            <wp:docPr id="5" name="Image 5" descr="Résultat de recherche d'images pour &quot;2018  votez cgt fph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2018  votez cgt fph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6345" cy="2086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3C8F" w:rsidRDefault="00F13C8F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13C8F" w:rsidRDefault="00F13C8F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</w:p>
    <w:p w:rsidR="00F13C8F" w:rsidRDefault="00F13C8F" w:rsidP="00D40E93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874D2" w:rsidRPr="00F13C8F" w:rsidRDefault="00F13C8F" w:rsidP="00F13C8F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textWrapping" w:clear="all"/>
      </w:r>
    </w:p>
    <w:sectPr w:rsidR="00E874D2" w:rsidRPr="00F13C8F" w:rsidSect="00F13C8F">
      <w:pgSz w:w="11906" w:h="16838"/>
      <w:pgMar w:top="426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0" w:rsidRDefault="00403E70" w:rsidP="00AD4370">
      <w:pPr>
        <w:spacing w:after="0" w:line="240" w:lineRule="auto"/>
      </w:pPr>
      <w:r>
        <w:separator/>
      </w:r>
    </w:p>
  </w:endnote>
  <w:endnote w:type="continuationSeparator" w:id="0">
    <w:p w:rsidR="00403E70" w:rsidRDefault="00403E70" w:rsidP="00A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0" w:rsidRDefault="00403E70" w:rsidP="00AD4370">
      <w:pPr>
        <w:spacing w:after="0" w:line="240" w:lineRule="auto"/>
      </w:pPr>
      <w:r>
        <w:separator/>
      </w:r>
    </w:p>
  </w:footnote>
  <w:footnote w:type="continuationSeparator" w:id="0">
    <w:p w:rsidR="00403E70" w:rsidRDefault="00403E70" w:rsidP="00AD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BE1"/>
    <w:multiLevelType w:val="multilevel"/>
    <w:tmpl w:val="1450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70A27"/>
    <w:multiLevelType w:val="multilevel"/>
    <w:tmpl w:val="34B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2525F"/>
    <w:multiLevelType w:val="multilevel"/>
    <w:tmpl w:val="BF0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E156D"/>
    <w:multiLevelType w:val="multilevel"/>
    <w:tmpl w:val="330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835FCC"/>
    <w:multiLevelType w:val="multilevel"/>
    <w:tmpl w:val="AB8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4C6BC8"/>
    <w:multiLevelType w:val="multilevel"/>
    <w:tmpl w:val="27B0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7C2FFC"/>
    <w:multiLevelType w:val="multilevel"/>
    <w:tmpl w:val="456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1B07D0"/>
    <w:multiLevelType w:val="multilevel"/>
    <w:tmpl w:val="DDEE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70"/>
    <w:rsid w:val="00222A5E"/>
    <w:rsid w:val="0031517E"/>
    <w:rsid w:val="00342E5F"/>
    <w:rsid w:val="00403E70"/>
    <w:rsid w:val="004330B2"/>
    <w:rsid w:val="004D4806"/>
    <w:rsid w:val="00534759"/>
    <w:rsid w:val="00592E80"/>
    <w:rsid w:val="006C02AE"/>
    <w:rsid w:val="00845654"/>
    <w:rsid w:val="00893F09"/>
    <w:rsid w:val="008F1C70"/>
    <w:rsid w:val="009B7C68"/>
    <w:rsid w:val="009D4133"/>
    <w:rsid w:val="00AD4370"/>
    <w:rsid w:val="00D40E93"/>
    <w:rsid w:val="00DE16A0"/>
    <w:rsid w:val="00ED286B"/>
    <w:rsid w:val="00F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370"/>
  </w:style>
  <w:style w:type="paragraph" w:styleId="Pieddepage">
    <w:name w:val="footer"/>
    <w:basedOn w:val="Normal"/>
    <w:link w:val="PieddepageCar"/>
    <w:uiPriority w:val="99"/>
    <w:unhideWhenUsed/>
    <w:rsid w:val="00A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370"/>
  </w:style>
  <w:style w:type="paragraph" w:styleId="Paragraphedeliste">
    <w:name w:val="List Paragraph"/>
    <w:basedOn w:val="Normal"/>
    <w:uiPriority w:val="34"/>
    <w:qFormat/>
    <w:rsid w:val="00F1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370"/>
  </w:style>
  <w:style w:type="paragraph" w:styleId="Pieddepage">
    <w:name w:val="footer"/>
    <w:basedOn w:val="Normal"/>
    <w:link w:val="PieddepageCar"/>
    <w:uiPriority w:val="99"/>
    <w:unhideWhenUsed/>
    <w:rsid w:val="00A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370"/>
  </w:style>
  <w:style w:type="paragraph" w:styleId="Paragraphedeliste">
    <w:name w:val="List Paragraph"/>
    <w:basedOn w:val="Normal"/>
    <w:uiPriority w:val="34"/>
    <w:qFormat/>
    <w:rsid w:val="00F1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1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33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fr/7/71/Logo_CGT_Sant%C3%A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3</cp:revision>
  <cp:lastPrinted>2018-05-30T13:06:00Z</cp:lastPrinted>
  <dcterms:created xsi:type="dcterms:W3CDTF">2018-05-30T06:15:00Z</dcterms:created>
  <dcterms:modified xsi:type="dcterms:W3CDTF">2018-05-30T13:22:00Z</dcterms:modified>
</cp:coreProperties>
</file>